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Menzel Garry 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00"/>
        <w:spacing w:after="0" w:line="343" w:lineRule="auto"/>
        <w:rPr>
          <w:sz w:val="20"/>
          <w:szCs w:val="20"/>
          <w:color w:val="auto"/>
        </w:rPr>
      </w:pPr>
      <w:r>
        <w:rPr>
          <w:rFonts w:ascii="Times New Roman" w:cs="Times New Roman" w:eastAsia="Times New Roman" w:hAnsi="Times New Roman"/>
          <w:sz w:val="17"/>
          <w:szCs w:val="17"/>
          <w:color w:val="0000FF"/>
        </w:rPr>
        <w:t>C/O BLACK DIAMOND THERAPEUTICS, INC. 245 FIRST STREET, 18TH FLOOR</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Black Diamond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BDTX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9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06/26/2026</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2"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06/26/2026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in full upon the earlier to occur of (i) June 26, 2027 or (ii) the Issuer's next annual meeting of stockholders, subject to the Reporting Person's continued service on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Brent Hatzis-Schoch,</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06/29/2026</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50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56064" TargetMode="External"/><Relationship Id="rId14" Type="http://schemas.openxmlformats.org/officeDocument/2006/relationships/hyperlink" Target="http://www.sec.gov/cgi-bin/browse-edgar?action=getcompany&amp;CIK=0001701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2026-06-29T16:05:12Z</dcterms:created>
  <dcterms:modified xsi:type="dcterms:W3CDTF">2026-06-29T16:05:12Z</dcterms:modified>
</cp:coreProperties>
</file>