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4"/>
          <w:szCs w:val="24"/>
          <w:color w:val="auto"/>
        </w:rPr>
      </w:pPr>
    </w:p>
    <w:p>
      <w:pPr>
        <w:spacing w:after="0" w:line="2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w:t>
      </w:r>
    </w:p>
    <w:p>
      <w:pPr>
        <w:spacing w:after="0" w:line="4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TRANSITION PERIOD FROM _ TO _</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001-38501</w:t>
      </w:r>
    </w:p>
    <w:p>
      <w:pPr>
        <w:spacing w:after="0" w:line="2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BLACK DIAMOND THERAPEUTICS, INC.</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4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50" w:lineRule="exact"/>
        <w:rPr>
          <w:sz w:val="24"/>
          <w:szCs w:val="24"/>
          <w:color w:val="auto"/>
        </w:rPr>
      </w:pPr>
    </w:p>
    <w:tbl>
      <w:tblPr>
        <w:tblLayout w:type="fixed"/>
        <w:tblInd w:w="1480" w:type="dxa"/>
        <w:tblCellMar>
          <w:top w:w="0" w:type="dxa"/>
          <w:left w:w="0" w:type="dxa"/>
          <w:bottom w:w="0" w:type="dxa"/>
          <w:right w:w="0" w:type="dxa"/>
        </w:tblCellMar>
      </w:tblPr>
      <w:tr>
        <w:trPr>
          <w:trHeight w:val="210"/>
        </w:trPr>
        <w:tc>
          <w:tcPr>
            <w:tcW w:w="6140" w:type="dxa"/>
            <w:vAlign w:val="bottom"/>
          </w:tcPr>
          <w:p>
            <w:pPr>
              <w:jc w:val="center"/>
              <w:ind w:right="3399"/>
              <w:spacing w:after="0"/>
              <w:rPr>
                <w:sz w:val="20"/>
                <w:szCs w:val="20"/>
                <w:color w:val="auto"/>
              </w:rPr>
            </w:pPr>
            <w:r>
              <w:rPr>
                <w:rFonts w:ascii="Times New Roman" w:cs="Times New Roman" w:eastAsia="Times New Roman" w:hAnsi="Times New Roman"/>
                <w:sz w:val="16"/>
                <w:szCs w:val="16"/>
                <w:color w:val="auto"/>
              </w:rPr>
              <w:t>Delaware</w:t>
            </w:r>
          </w:p>
        </w:tc>
        <w:tc>
          <w:tcPr>
            <w:tcW w:w="1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81-4254660</w:t>
            </w:r>
          </w:p>
        </w:tc>
      </w:tr>
      <w:tr>
        <w:trPr>
          <w:trHeight w:val="283"/>
        </w:trPr>
        <w:tc>
          <w:tcPr>
            <w:tcW w:w="6140" w:type="dxa"/>
            <w:vAlign w:val="bottom"/>
          </w:tcPr>
          <w:p>
            <w:pPr>
              <w:jc w:val="center"/>
              <w:ind w:right="337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70"/>
        </w:trPr>
        <w:tc>
          <w:tcPr>
            <w:tcW w:w="6140" w:type="dxa"/>
            <w:vAlign w:val="bottom"/>
          </w:tcPr>
          <w:p>
            <w:pPr>
              <w:jc w:val="center"/>
              <w:ind w:right="3379"/>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10"/>
        </w:trPr>
        <w:tc>
          <w:tcPr>
            <w:tcW w:w="6140" w:type="dxa"/>
            <w:vAlign w:val="bottom"/>
          </w:tcPr>
          <w:p>
            <w:pPr>
              <w:jc w:val="center"/>
              <w:ind w:right="3379"/>
              <w:spacing w:after="0"/>
              <w:rPr>
                <w:sz w:val="20"/>
                <w:szCs w:val="20"/>
                <w:color w:val="auto"/>
              </w:rPr>
            </w:pPr>
            <w:r>
              <w:rPr>
                <w:rFonts w:ascii="Times New Roman" w:cs="Times New Roman" w:eastAsia="Times New Roman" w:hAnsi="Times New Roman"/>
                <w:sz w:val="16"/>
                <w:szCs w:val="16"/>
                <w:color w:val="auto"/>
              </w:rPr>
              <w:t>245 First Street, 18th Floor</w:t>
            </w:r>
          </w:p>
        </w:tc>
        <w:tc>
          <w:tcPr>
            <w:tcW w:w="1440" w:type="dxa"/>
            <w:vAlign w:val="bottom"/>
          </w:tcPr>
          <w:p>
            <w:pPr>
              <w:spacing w:after="0"/>
              <w:rPr>
                <w:sz w:val="24"/>
                <w:szCs w:val="24"/>
                <w:color w:val="auto"/>
              </w:rPr>
            </w:pPr>
          </w:p>
        </w:tc>
      </w:tr>
      <w:tr>
        <w:trPr>
          <w:trHeight w:val="216"/>
        </w:trPr>
        <w:tc>
          <w:tcPr>
            <w:tcW w:w="6140" w:type="dxa"/>
            <w:vAlign w:val="bottom"/>
          </w:tcPr>
          <w:p>
            <w:pPr>
              <w:jc w:val="center"/>
              <w:ind w:right="3399"/>
              <w:spacing w:after="0"/>
              <w:rPr>
                <w:sz w:val="20"/>
                <w:szCs w:val="20"/>
                <w:color w:val="auto"/>
              </w:rPr>
            </w:pPr>
            <w:r>
              <w:rPr>
                <w:rFonts w:ascii="Times New Roman" w:cs="Times New Roman" w:eastAsia="Times New Roman" w:hAnsi="Times New Roman"/>
                <w:sz w:val="16"/>
                <w:szCs w:val="16"/>
                <w:color w:val="auto"/>
              </w:rPr>
              <w:t>Cambridge, Massachusetts</w:t>
            </w:r>
          </w:p>
        </w:tc>
        <w:tc>
          <w:tcPr>
            <w:tcW w:w="14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02142</w:t>
            </w:r>
          </w:p>
        </w:tc>
      </w:tr>
      <w:tr>
        <w:trPr>
          <w:trHeight w:val="230"/>
        </w:trPr>
        <w:tc>
          <w:tcPr>
            <w:tcW w:w="6140" w:type="dxa"/>
            <w:vAlign w:val="bottom"/>
          </w:tcPr>
          <w:p>
            <w:pPr>
              <w:jc w:val="center"/>
              <w:ind w:right="33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351"/>
        </w:trPr>
        <w:tc>
          <w:tcPr>
            <w:tcW w:w="6140" w:type="dxa"/>
            <w:vAlign w:val="bottom"/>
          </w:tcPr>
          <w:p>
            <w:pPr>
              <w:jc w:val="right"/>
              <w:ind w:right="1399"/>
              <w:spacing w:after="0"/>
              <w:rPr>
                <w:sz w:val="20"/>
                <w:szCs w:val="20"/>
                <w:color w:val="auto"/>
              </w:rPr>
            </w:pPr>
            <w:r>
              <w:rPr>
                <w:rFonts w:ascii="Times New Roman" w:cs="Times New Roman" w:eastAsia="Times New Roman" w:hAnsi="Times New Roman"/>
                <w:sz w:val="16"/>
                <w:szCs w:val="16"/>
                <w:color w:val="auto"/>
              </w:rPr>
              <w:t>(617) 252-0848</w:t>
            </w:r>
          </w:p>
        </w:tc>
        <w:tc>
          <w:tcPr>
            <w:tcW w:w="1440" w:type="dxa"/>
            <w:vAlign w:val="bottom"/>
          </w:tcPr>
          <w:p>
            <w:pPr>
              <w:spacing w:after="0"/>
              <w:rPr>
                <w:sz w:val="24"/>
                <w:szCs w:val="24"/>
                <w:color w:val="auto"/>
              </w:rPr>
            </w:pPr>
          </w:p>
        </w:tc>
      </w:tr>
      <w:tr>
        <w:trPr>
          <w:trHeight w:val="230"/>
        </w:trPr>
        <w:tc>
          <w:tcPr>
            <w:tcW w:w="6140" w:type="dxa"/>
            <w:vAlign w:val="bottom"/>
          </w:tcPr>
          <w:p>
            <w:pPr>
              <w:jc w:val="center"/>
              <w:ind w:left="207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440" w:type="dxa"/>
            <w:vAlign w:val="bottom"/>
          </w:tcPr>
          <w:p>
            <w:pPr>
              <w:spacing w:after="0"/>
              <w:rPr>
                <w:sz w:val="19"/>
                <w:szCs w:val="19"/>
                <w:color w:val="auto"/>
              </w:rPr>
            </w:pPr>
          </w:p>
        </w:tc>
      </w:tr>
    </w:tbl>
    <w:p>
      <w:pPr>
        <w:spacing w:after="0" w:line="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One Main Street, 14th Floor, Cambridge, Massachusetts 02142</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1D1E"/>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BDTX</w:t>
            </w:r>
          </w:p>
        </w:tc>
        <w:tc>
          <w:tcPr>
            <w:tcW w:w="5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81"/>
        </w:trPr>
        <w:tc>
          <w:tcPr>
            <w:tcW w:w="380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5200" w:type="dxa"/>
            <w:vAlign w:val="bottom"/>
            <w:tcBorders>
              <w:bottom w:val="single" w:sz="8" w:color="auto"/>
            </w:tcBorders>
          </w:tcPr>
          <w:p>
            <w:pPr>
              <w:spacing w:after="0"/>
              <w:rPr>
                <w:sz w:val="7"/>
                <w:szCs w:val="7"/>
                <w:color w:val="auto"/>
              </w:rPr>
            </w:pPr>
          </w:p>
        </w:tc>
      </w:tr>
    </w:tbl>
    <w:p>
      <w:pPr>
        <w:spacing w:after="0" w:line="184"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4"/>
          <w:szCs w:val="24"/>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309"/>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Large accelerated filer</w:t>
            </w:r>
          </w:p>
        </w:tc>
        <w:tc>
          <w:tcPr>
            <w:tcW w:w="26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Accelerated filer</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29"/>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13"/>
        </w:trPr>
        <w:tc>
          <w:tcPr>
            <w:tcW w:w="2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2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4"/>
          <w:szCs w:val="24"/>
          <w:color w:val="auto"/>
        </w:rPr>
      </w:pPr>
    </w:p>
    <w:p>
      <w:pPr>
        <w:jc w:val="both"/>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74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 2026, the registrant had 57,301,774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3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This Quarterly Report on Form 10-Q (this Quarterly Report) contains forward-looking statements which are made pursuant to the safe harbor provisions of Section 27A of the Securities Act of 1933, as amended (the Securities Act), and Section 21E of the Securities Exchange Act of 1934, as amended (the Exchange Act). All statements other than statements of historical facts contained in this Quarterly Report are forward-looking statements. In some cases, you can identify forward-looking statements by terminology such as “may”, “will”, “could”,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spacing w:after="0" w:line="85" w:lineRule="exact"/>
        <w:rPr>
          <w:sz w:val="20"/>
          <w:szCs w:val="20"/>
          <w:color w:val="auto"/>
        </w:rPr>
      </w:pPr>
    </w:p>
    <w:p>
      <w:pPr>
        <w:ind w:left="660" w:right="86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progress, timing and success of our clinical trials of silevertinib and any of our future product candidates, including the availability, timing and announcement of data and results of such trials;</w:t>
      </w:r>
    </w:p>
    <w:p>
      <w:pPr>
        <w:spacing w:after="0" w:line="64" w:lineRule="exact"/>
        <w:rPr>
          <w:rFonts w:ascii="Times New Roman" w:cs="Times New Roman" w:eastAsia="Times New Roman" w:hAnsi="Times New Roman"/>
          <w:sz w:val="20"/>
          <w:szCs w:val="20"/>
          <w:color w:val="auto"/>
        </w:rPr>
      </w:pPr>
    </w:p>
    <w:p>
      <w:pPr>
        <w:ind w:left="660" w:right="8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and maintain regulatory approval for silevertinib or any of our future product candidates that we may identify or develop;</w:t>
      </w:r>
    </w:p>
    <w:p>
      <w:pPr>
        <w:spacing w:after="0" w:line="38" w:lineRule="exact"/>
        <w:rPr>
          <w:rFonts w:ascii="Times New Roman" w:cs="Times New Roman" w:eastAsia="Times New Roman" w:hAnsi="Times New Roman"/>
          <w:sz w:val="20"/>
          <w:szCs w:val="20"/>
          <w:color w:val="auto"/>
        </w:rPr>
      </w:pPr>
    </w:p>
    <w:p>
      <w:pPr>
        <w:ind w:left="660" w:right="4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timing, progress and results of our clinical trials and investigational new drug (IND) applications, development efforts and other regulatory submissions;</w:t>
      </w:r>
    </w:p>
    <w:p>
      <w:pPr>
        <w:spacing w:after="0" w:line="38" w:lineRule="exact"/>
        <w:rPr>
          <w:rFonts w:ascii="Times New Roman" w:cs="Times New Roman" w:eastAsia="Times New Roman" w:hAnsi="Times New Roman"/>
          <w:sz w:val="20"/>
          <w:szCs w:val="20"/>
          <w:color w:val="auto"/>
        </w:rPr>
      </w:pPr>
    </w:p>
    <w:p>
      <w:pPr>
        <w:ind w:left="660" w:right="14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competition with respect to silevertinib or any of our other current or future product candidates, as well as innovations by current and future competitors in our industry;</w:t>
      </w:r>
    </w:p>
    <w:p>
      <w:pPr>
        <w:spacing w:after="0" w:line="51" w:lineRule="exact"/>
        <w:rPr>
          <w:rFonts w:ascii="Times New Roman" w:cs="Times New Roman" w:eastAsia="Times New Roman" w:hAnsi="Times New Roman"/>
          <w:sz w:val="20"/>
          <w:szCs w:val="20"/>
          <w:color w:val="auto"/>
        </w:rPr>
      </w:pPr>
    </w:p>
    <w:p>
      <w:pPr>
        <w:ind w:left="660" w:right="36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evaluation of potential partnership opportunities to advance the pivotal development of silevertinib in a timely manner and to successfully execute and realize the intended and potential benefits of any such potential partnership;</w:t>
      </w:r>
    </w:p>
    <w:p>
      <w:pPr>
        <w:spacing w:after="0" w:line="64" w:lineRule="exact"/>
        <w:rPr>
          <w:rFonts w:ascii="Times New Roman" w:cs="Times New Roman" w:eastAsia="Times New Roman" w:hAnsi="Times New Roman"/>
          <w:sz w:val="20"/>
          <w:szCs w:val="20"/>
          <w:color w:val="auto"/>
        </w:rPr>
      </w:pPr>
    </w:p>
    <w:p>
      <w:pPr>
        <w:ind w:left="660" w:right="16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partnership with Servier Pharmaceuticals LLC (Servier) and the intended and potential benefits thereof, including the receipt of potential development and commercial milestone payments, along with tiered royalties based on global net sales, if any;</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Servier’s ability to develop and commercialize BDTX-4933 (also known as S241656);</w:t>
      </w:r>
    </w:p>
    <w:p>
      <w:pPr>
        <w:spacing w:after="0" w:line="107" w:lineRule="exact"/>
        <w:rPr>
          <w:rFonts w:ascii="Times New Roman" w:cs="Times New Roman" w:eastAsia="Times New Roman" w:hAnsi="Times New Roman"/>
          <w:sz w:val="20"/>
          <w:szCs w:val="20"/>
          <w:color w:val="auto"/>
        </w:rPr>
      </w:pPr>
    </w:p>
    <w:p>
      <w:pPr>
        <w:ind w:left="660" w:right="30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evaluation of strategic alternatives for BDTX-4876, including our ability to execute and realize the anticipated benefits of any strategic alternatives we may pursue;</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our current and future product candidates for the treatment of various cancers;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and degree of market acceptance and clinical utility for any current or future product candidates we may develop;</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implementation of our strategic plans for our business and our product candidates;</w:t>
      </w:r>
    </w:p>
    <w:p>
      <w:pPr>
        <w:spacing w:after="0" w:line="107" w:lineRule="exact"/>
        <w:rPr>
          <w:rFonts w:ascii="Times New Roman" w:cs="Times New Roman" w:eastAsia="Times New Roman" w:hAnsi="Times New Roman"/>
          <w:sz w:val="20"/>
          <w:szCs w:val="20"/>
          <w:color w:val="auto"/>
        </w:rPr>
      </w:pPr>
    </w:p>
    <w:p>
      <w:pPr>
        <w:ind w:left="660" w:right="400" w:hanging="328"/>
        <w:spacing w:after="0" w:line="310" w:lineRule="auto"/>
        <w:tabs>
          <w:tab w:leader="none" w:pos="64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intellectual property position, including the scope of protection we are able to establish, maintain and enforce for intellectual property rights covering our product candidates and Mutation-Allostery-Pharmacology (MAP) drug discovery engine;</w:t>
      </w:r>
    </w:p>
    <w:p>
      <w:pPr>
        <w:spacing w:after="0" w:line="29" w:lineRule="exact"/>
        <w:rPr>
          <w:rFonts w:ascii="Times New Roman" w:cs="Times New Roman" w:eastAsia="Times New Roman" w:hAnsi="Times New Roman"/>
          <w:sz w:val="19"/>
          <w:szCs w:val="19"/>
          <w:color w:val="auto"/>
        </w:rPr>
      </w:pPr>
    </w:p>
    <w:p>
      <w:pPr>
        <w:ind w:left="660" w:right="100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additional funding for our operations, when needed, including funding necessary to complete further development and commercialization of our product candidates, if approved;</w:t>
      </w:r>
    </w:p>
    <w:p>
      <w:pPr>
        <w:spacing w:after="0" w:line="64"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over which we expect our existing cash, cash equivalents and investments will be sufficient to fund our operating expenses and capital expenditure requirements;</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accuracy of our estimates regarding expenses, future revenue, capital requirements and needs for additional financing;</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financial performance and our ability to effectively manage our anticipated growth;</w:t>
      </w:r>
    </w:p>
    <w:p>
      <w:pPr>
        <w:spacing w:after="0" w:line="107" w:lineRule="exact"/>
        <w:rPr>
          <w:rFonts w:ascii="Times New Roman" w:cs="Times New Roman" w:eastAsia="Times New Roman" w:hAnsi="Times New Roman"/>
          <w:sz w:val="20"/>
          <w:szCs w:val="20"/>
          <w:color w:val="auto"/>
        </w:rPr>
      </w:pPr>
    </w:p>
    <w:p>
      <w:pPr>
        <w:ind w:left="660" w:right="28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regarding the market opportunities for our product candidates, including our competitive position and the success of competing therapies that are or may become available;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40" w:hanging="328"/>
        <w:spacing w:after="0" w:line="28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need for and ability to attract and retain key scientific, management and other personnel and to identify, hire and retain additional qualified professionals;</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for our business development efforts to maximize the value of our product candidates;</w:t>
      </w:r>
    </w:p>
    <w:p>
      <w:pPr>
        <w:spacing w:after="0" w:line="121" w:lineRule="exact"/>
        <w:rPr>
          <w:rFonts w:ascii="Times New Roman" w:cs="Times New Roman" w:eastAsia="Times New Roman" w:hAnsi="Times New Roman"/>
          <w:sz w:val="20"/>
          <w:szCs w:val="20"/>
          <w:color w:val="auto"/>
        </w:rPr>
      </w:pPr>
    </w:p>
    <w:p>
      <w:pPr>
        <w:ind w:left="660" w:right="460" w:hanging="328"/>
        <w:spacing w:after="0" w:line="269"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and growth potential of the markets for our product candidates, and our ability to serve those markets, either alone or in partnership with others;</w:t>
      </w:r>
    </w:p>
    <w:p>
      <w:pPr>
        <w:spacing w:after="0" w:line="64" w:lineRule="exact"/>
        <w:rPr>
          <w:rFonts w:ascii="Times New Roman" w:cs="Times New Roman" w:eastAsia="Times New Roman" w:hAnsi="Times New Roman"/>
          <w:sz w:val="20"/>
          <w:szCs w:val="20"/>
          <w:color w:val="auto"/>
        </w:rPr>
      </w:pPr>
    </w:p>
    <w:p>
      <w:pPr>
        <w:ind w:left="660" w:right="280" w:hanging="328"/>
        <w:spacing w:after="0" w:line="281" w:lineRule="auto"/>
        <w:tabs>
          <w:tab w:leader="none" w:pos="64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establish or maintain collaborations or strategic relationships, the ability and willingness of our third-party strategic collaborators to undertake research and development activities relating to our current or future product candidates, and the achievement of milestones or occurrence of other developments that trigger payments under any collaboration agreements, if any;</w:t>
      </w:r>
    </w:p>
    <w:p>
      <w:pPr>
        <w:spacing w:after="0" w:line="56"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an effective system of internal controls; and</w:t>
      </w:r>
    </w:p>
    <w:p>
      <w:pPr>
        <w:spacing w:after="0" w:line="107" w:lineRule="exact"/>
        <w:rPr>
          <w:rFonts w:ascii="Times New Roman" w:cs="Times New Roman" w:eastAsia="Times New Roman" w:hAnsi="Times New Roman"/>
          <w:sz w:val="20"/>
          <w:szCs w:val="20"/>
          <w:color w:val="auto"/>
        </w:rPr>
      </w:pPr>
    </w:p>
    <w:p>
      <w:pPr>
        <w:ind w:left="660" w:right="80" w:hanging="328"/>
        <w:spacing w:after="0" w:line="25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macroeconomic and geopolitical developments on our business, including inflationary pressures and capital market disruptions, interest rate fluctuations, changes in or disruptions of U.S. governmental agencies, whether from a U.S. federal government shutdown or reduced resources, new or increased international tariffs and retaliatory tariffs, new laws and regulations or amendments to existing laws and regulations in the U.S. and foreign countries, trade protection measures, military conflicts, such as the ongoing conflicts between Russia and Ukraine, U.S. and Iran, and in the Middle East, economic sanctions and economic slowdowns or recessions that may result from such developments which could harm our research and development efforts as well as the value of our common stock and our ability to access capital markets.</w:t>
      </w:r>
    </w:p>
    <w:p>
      <w:pPr>
        <w:spacing w:after="0" w:line="19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 Item 1A, “Risk Factors” and elsewhere in our most recent Annual Report on Form 10-K for the year ended December 31, 2025 (the Annual Report) and in other Securities and Exchange Commission (SEC) filings.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 could materially and adversely affect our business, prospects, financial condition and results of operations. Some of these risks and uncertainties may in the future be amplified by global health crises, macroeconomic conditions and geopolitical developments, and there may be additional risks that we consider immaterial or which are unknown. It is not possible to predict or identify all such risks.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This Quarterly Report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as exhibits to this Quarterly Report. In this Quarterly Report, the terms “Black Diamond Therapeutics”, “Black Diamond”, the “Company”, “we”, “us”, “our” and similar designations refer to Black Diamond Therapeutics, Inc. and, where appropriate, our wholly-owned subsidiary.</w:t>
      </w:r>
    </w:p>
    <w:p>
      <w:pPr>
        <w:spacing w:after="0" w:line="19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10460" w:type="dxa"/>
            <w:vAlign w:val="bottom"/>
          </w:tcPr>
          <w:p>
            <w:pPr>
              <w:jc w:val="right"/>
              <w:ind w:right="3701"/>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10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34"/>
        </w:trPr>
        <w:tc>
          <w:tcPr>
            <w:tcW w:w="10460" w:type="dxa"/>
            <w:vAlign w:val="bottom"/>
            <w:vMerge w:val="restart"/>
          </w:tcPr>
          <w:p>
            <w:pPr>
              <w:ind w:left="3600"/>
              <w:spacing w:after="0"/>
              <w:rPr>
                <w:sz w:val="20"/>
                <w:szCs w:val="20"/>
                <w:color w:val="auto"/>
              </w:rPr>
            </w:pPr>
            <w:r>
              <w:rPr>
                <w:rFonts w:ascii="Times New Roman" w:cs="Times New Roman" w:eastAsia="Times New Roman" w:hAnsi="Times New Roman"/>
                <w:sz w:val="20"/>
                <w:szCs w:val="20"/>
                <w:color w:val="0000FF"/>
              </w:rPr>
              <w:t>PART I - FINANCIAL INFORMATION</w:t>
            </w: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10460" w:type="dxa"/>
            <w:vAlign w:val="bottom"/>
            <w:vMerge w:val="continue"/>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w:t>
            </w:r>
          </w:p>
        </w:tc>
        <w:tc>
          <w:tcPr>
            <w:tcW w:w="0" w:type="dxa"/>
            <w:vAlign w:val="bottom"/>
          </w:tcPr>
          <w:p>
            <w:pPr>
              <w:spacing w:after="0"/>
              <w:rPr>
                <w:sz w:val="1"/>
                <w:szCs w:val="1"/>
                <w:color w:val="auto"/>
              </w:rPr>
            </w:pPr>
          </w:p>
        </w:tc>
      </w:tr>
      <w:tr>
        <w:trPr>
          <w:trHeight w:val="324"/>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1. Condensed Consolidated Financial Statements (Unaudited)</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w:t>
            </w:r>
          </w:p>
        </w:tc>
        <w:tc>
          <w:tcPr>
            <w:tcW w:w="0" w:type="dxa"/>
            <w:vAlign w:val="bottom"/>
          </w:tcPr>
          <w:p>
            <w:pPr>
              <w:spacing w:after="0"/>
              <w:rPr>
                <w:sz w:val="1"/>
                <w:szCs w:val="1"/>
                <w:color w:val="auto"/>
              </w:rPr>
            </w:pPr>
          </w:p>
        </w:tc>
      </w:tr>
      <w:tr>
        <w:trPr>
          <w:trHeight w:val="324"/>
        </w:trPr>
        <w:tc>
          <w:tcPr>
            <w:tcW w:w="10460" w:type="dxa"/>
            <w:vAlign w:val="bottom"/>
          </w:tcPr>
          <w:p>
            <w:pPr>
              <w:ind w:left="1080"/>
              <w:spacing w:after="0"/>
              <w:rPr>
                <w:sz w:val="20"/>
                <w:szCs w:val="20"/>
                <w:color w:val="auto"/>
              </w:rPr>
            </w:pPr>
            <w:r>
              <w:rPr>
                <w:rFonts w:ascii="Times New Roman" w:cs="Times New Roman" w:eastAsia="Times New Roman" w:hAnsi="Times New Roman"/>
                <w:sz w:val="20"/>
                <w:szCs w:val="20"/>
                <w:color w:val="0000FF"/>
              </w:rPr>
              <w:t>Condensed Consolidated Balance Sheets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w:t>
            </w:r>
          </w:p>
        </w:tc>
        <w:tc>
          <w:tcPr>
            <w:tcW w:w="0" w:type="dxa"/>
            <w:vAlign w:val="bottom"/>
          </w:tcPr>
          <w:p>
            <w:pPr>
              <w:spacing w:after="0"/>
              <w:rPr>
                <w:sz w:val="1"/>
                <w:szCs w:val="1"/>
                <w:color w:val="auto"/>
              </w:rPr>
            </w:pPr>
          </w:p>
        </w:tc>
      </w:tr>
      <w:tr>
        <w:trPr>
          <w:trHeight w:val="324"/>
        </w:trPr>
        <w:tc>
          <w:tcPr>
            <w:tcW w:w="10460" w:type="dxa"/>
            <w:vAlign w:val="bottom"/>
          </w:tcPr>
          <w:p>
            <w:pPr>
              <w:ind w:left="1080"/>
              <w:spacing w:after="0"/>
              <w:rPr>
                <w:sz w:val="20"/>
                <w:szCs w:val="20"/>
                <w:color w:val="auto"/>
              </w:rPr>
            </w:pPr>
            <w:r>
              <w:rPr>
                <w:rFonts w:ascii="Times New Roman" w:cs="Times New Roman" w:eastAsia="Times New Roman" w:hAnsi="Times New Roman"/>
                <w:sz w:val="20"/>
                <w:szCs w:val="20"/>
                <w:color w:val="0000FF"/>
              </w:rPr>
              <w:t>Condensed Consolidated Statements of Operations and Comprehensive Income (Loss)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w:t>
            </w:r>
          </w:p>
        </w:tc>
        <w:tc>
          <w:tcPr>
            <w:tcW w:w="0" w:type="dxa"/>
            <w:vAlign w:val="bottom"/>
          </w:tcPr>
          <w:p>
            <w:pPr>
              <w:spacing w:after="0"/>
              <w:rPr>
                <w:sz w:val="1"/>
                <w:szCs w:val="1"/>
                <w:color w:val="auto"/>
              </w:rPr>
            </w:pPr>
          </w:p>
        </w:tc>
      </w:tr>
      <w:tr>
        <w:trPr>
          <w:trHeight w:val="324"/>
        </w:trPr>
        <w:tc>
          <w:tcPr>
            <w:tcW w:w="10460" w:type="dxa"/>
            <w:vAlign w:val="bottom"/>
          </w:tcPr>
          <w:p>
            <w:pPr>
              <w:ind w:left="1080"/>
              <w:spacing w:after="0"/>
              <w:rPr>
                <w:sz w:val="20"/>
                <w:szCs w:val="20"/>
                <w:color w:val="auto"/>
              </w:rPr>
            </w:pPr>
            <w:r>
              <w:rPr>
                <w:rFonts w:ascii="Times New Roman" w:cs="Times New Roman" w:eastAsia="Times New Roman" w:hAnsi="Times New Roman"/>
                <w:sz w:val="20"/>
                <w:szCs w:val="20"/>
                <w:color w:val="0000FF"/>
              </w:rPr>
              <w:t>Condensed Consolidated Statements of Cash Flows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8</w:t>
            </w:r>
          </w:p>
        </w:tc>
        <w:tc>
          <w:tcPr>
            <w:tcW w:w="0" w:type="dxa"/>
            <w:vAlign w:val="bottom"/>
          </w:tcPr>
          <w:p>
            <w:pPr>
              <w:spacing w:after="0"/>
              <w:rPr>
                <w:sz w:val="1"/>
                <w:szCs w:val="1"/>
                <w:color w:val="auto"/>
              </w:rPr>
            </w:pPr>
          </w:p>
        </w:tc>
      </w:tr>
      <w:tr>
        <w:trPr>
          <w:trHeight w:val="324"/>
        </w:trPr>
        <w:tc>
          <w:tcPr>
            <w:tcW w:w="10460" w:type="dxa"/>
            <w:vAlign w:val="bottom"/>
          </w:tcPr>
          <w:p>
            <w:pPr>
              <w:ind w:left="1080"/>
              <w:spacing w:after="0"/>
              <w:rPr>
                <w:sz w:val="20"/>
                <w:szCs w:val="20"/>
                <w:color w:val="auto"/>
              </w:rPr>
            </w:pPr>
            <w:r>
              <w:rPr>
                <w:rFonts w:ascii="Times New Roman" w:cs="Times New Roman" w:eastAsia="Times New Roman" w:hAnsi="Times New Roman"/>
                <w:sz w:val="20"/>
                <w:szCs w:val="20"/>
                <w:color w:val="0000FF"/>
              </w:rPr>
              <w:t>Condensed Consolidated Statements of Stockholders’ Equity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w:t>
            </w:r>
          </w:p>
        </w:tc>
        <w:tc>
          <w:tcPr>
            <w:tcW w:w="0" w:type="dxa"/>
            <w:vAlign w:val="bottom"/>
          </w:tcPr>
          <w:p>
            <w:pPr>
              <w:spacing w:after="0"/>
              <w:rPr>
                <w:sz w:val="1"/>
                <w:szCs w:val="1"/>
                <w:color w:val="auto"/>
              </w:rPr>
            </w:pPr>
          </w:p>
        </w:tc>
      </w:tr>
      <w:tr>
        <w:trPr>
          <w:trHeight w:val="324"/>
        </w:trPr>
        <w:tc>
          <w:tcPr>
            <w:tcW w:w="10460" w:type="dxa"/>
            <w:vAlign w:val="bottom"/>
          </w:tcPr>
          <w:p>
            <w:pPr>
              <w:ind w:left="1080"/>
              <w:spacing w:after="0"/>
              <w:rPr>
                <w:sz w:val="20"/>
                <w:szCs w:val="20"/>
                <w:color w:val="auto"/>
              </w:rPr>
            </w:pPr>
            <w:r>
              <w:rPr>
                <w:rFonts w:ascii="Times New Roman" w:cs="Times New Roman" w:eastAsia="Times New Roman" w:hAnsi="Times New Roman"/>
                <w:sz w:val="20"/>
                <w:szCs w:val="20"/>
                <w:color w:val="0000FF"/>
              </w:rPr>
              <w:t>Notes to Unaudited Condensed Consolidated Financial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w:t>
            </w:r>
          </w:p>
        </w:tc>
        <w:tc>
          <w:tcPr>
            <w:tcW w:w="0" w:type="dxa"/>
            <w:vAlign w:val="bottom"/>
          </w:tcPr>
          <w:p>
            <w:pPr>
              <w:spacing w:after="0"/>
              <w:rPr>
                <w:sz w:val="1"/>
                <w:szCs w:val="1"/>
                <w:color w:val="auto"/>
              </w:rPr>
            </w:pPr>
          </w:p>
        </w:tc>
      </w:tr>
      <w:tr>
        <w:trPr>
          <w:trHeight w:val="405"/>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2. Management’s Discussion and Analysis of Financial Condition and Results of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22</w:t>
            </w:r>
          </w:p>
        </w:tc>
        <w:tc>
          <w:tcPr>
            <w:tcW w:w="0" w:type="dxa"/>
            <w:vAlign w:val="bottom"/>
          </w:tcPr>
          <w:p>
            <w:pPr>
              <w:spacing w:after="0"/>
              <w:rPr>
                <w:sz w:val="1"/>
                <w:szCs w:val="1"/>
                <w:color w:val="auto"/>
              </w:rPr>
            </w:pPr>
          </w:p>
        </w:tc>
      </w:tr>
      <w:tr>
        <w:trPr>
          <w:trHeight w:val="405"/>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3. Quantitative and Qualitative Disclosures about Market Risk</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w:t>
            </w:r>
          </w:p>
        </w:tc>
        <w:tc>
          <w:tcPr>
            <w:tcW w:w="0" w:type="dxa"/>
            <w:vAlign w:val="bottom"/>
          </w:tcPr>
          <w:p>
            <w:pPr>
              <w:spacing w:after="0"/>
              <w:rPr>
                <w:sz w:val="1"/>
                <w:szCs w:val="1"/>
                <w:color w:val="auto"/>
              </w:rPr>
            </w:pPr>
          </w:p>
        </w:tc>
      </w:tr>
      <w:tr>
        <w:trPr>
          <w:trHeight w:val="405"/>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4. Controls and Procedures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w:t>
            </w:r>
          </w:p>
        </w:tc>
        <w:tc>
          <w:tcPr>
            <w:tcW w:w="0" w:type="dxa"/>
            <w:vAlign w:val="bottom"/>
          </w:tcPr>
          <w:p>
            <w:pPr>
              <w:spacing w:after="0"/>
              <w:rPr>
                <w:sz w:val="1"/>
                <w:szCs w:val="1"/>
                <w:color w:val="auto"/>
              </w:rPr>
            </w:pPr>
          </w:p>
        </w:tc>
      </w:tr>
      <w:tr>
        <w:trPr>
          <w:trHeight w:val="405"/>
        </w:trPr>
        <w:tc>
          <w:tcPr>
            <w:tcW w:w="10460" w:type="dxa"/>
            <w:vAlign w:val="bottom"/>
          </w:tcPr>
          <w:p>
            <w:pPr>
              <w:jc w:val="right"/>
              <w:ind w:right="3701"/>
              <w:spacing w:after="0"/>
              <w:rPr>
                <w:sz w:val="20"/>
                <w:szCs w:val="20"/>
                <w:color w:val="auto"/>
              </w:rPr>
            </w:pPr>
            <w:r>
              <w:rPr>
                <w:rFonts w:ascii="Times New Roman" w:cs="Times New Roman" w:eastAsia="Times New Roman" w:hAnsi="Times New Roman"/>
                <w:sz w:val="20"/>
                <w:szCs w:val="20"/>
                <w:color w:val="0000FF"/>
              </w:rPr>
              <w:t>PART II - OTHER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34</w:t>
            </w:r>
          </w:p>
        </w:tc>
        <w:tc>
          <w:tcPr>
            <w:tcW w:w="0" w:type="dxa"/>
            <w:vAlign w:val="bottom"/>
          </w:tcPr>
          <w:p>
            <w:pPr>
              <w:spacing w:after="0"/>
              <w:rPr>
                <w:sz w:val="1"/>
                <w:szCs w:val="1"/>
                <w:color w:val="auto"/>
              </w:rPr>
            </w:pPr>
          </w:p>
        </w:tc>
      </w:tr>
      <w:tr>
        <w:trPr>
          <w:trHeight w:val="324"/>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1. Legal Proceedings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34</w:t>
            </w:r>
          </w:p>
        </w:tc>
        <w:tc>
          <w:tcPr>
            <w:tcW w:w="0" w:type="dxa"/>
            <w:vAlign w:val="bottom"/>
          </w:tcPr>
          <w:p>
            <w:pPr>
              <w:spacing w:after="0"/>
              <w:rPr>
                <w:sz w:val="1"/>
                <w:szCs w:val="1"/>
                <w:color w:val="auto"/>
              </w:rPr>
            </w:pPr>
          </w:p>
        </w:tc>
      </w:tr>
      <w:tr>
        <w:trPr>
          <w:trHeight w:val="324"/>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1A. Risk Factors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34</w:t>
            </w:r>
          </w:p>
        </w:tc>
        <w:tc>
          <w:tcPr>
            <w:tcW w:w="0" w:type="dxa"/>
            <w:vAlign w:val="bottom"/>
          </w:tcPr>
          <w:p>
            <w:pPr>
              <w:spacing w:after="0"/>
              <w:rPr>
                <w:sz w:val="1"/>
                <w:szCs w:val="1"/>
                <w:color w:val="auto"/>
              </w:rPr>
            </w:pPr>
          </w:p>
        </w:tc>
      </w:tr>
      <w:tr>
        <w:trPr>
          <w:trHeight w:val="297"/>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2. Unregistered Sales of Equity Securities and Use of Proceeds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34</w:t>
            </w:r>
          </w:p>
        </w:tc>
        <w:tc>
          <w:tcPr>
            <w:tcW w:w="0" w:type="dxa"/>
            <w:vAlign w:val="bottom"/>
          </w:tcPr>
          <w:p>
            <w:pPr>
              <w:spacing w:after="0"/>
              <w:rPr>
                <w:sz w:val="1"/>
                <w:szCs w:val="1"/>
                <w:color w:val="auto"/>
              </w:rPr>
            </w:pPr>
          </w:p>
        </w:tc>
      </w:tr>
      <w:tr>
        <w:trPr>
          <w:trHeight w:val="297"/>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3. Defaults Upon Senior Securities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34</w:t>
            </w:r>
          </w:p>
        </w:tc>
        <w:tc>
          <w:tcPr>
            <w:tcW w:w="0" w:type="dxa"/>
            <w:vAlign w:val="bottom"/>
          </w:tcPr>
          <w:p>
            <w:pPr>
              <w:spacing w:after="0"/>
              <w:rPr>
                <w:sz w:val="1"/>
                <w:szCs w:val="1"/>
                <w:color w:val="auto"/>
              </w:rPr>
            </w:pPr>
          </w:p>
        </w:tc>
      </w:tr>
      <w:tr>
        <w:trPr>
          <w:trHeight w:val="405"/>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4. Mine Safety Disclosures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34</w:t>
            </w:r>
          </w:p>
        </w:tc>
        <w:tc>
          <w:tcPr>
            <w:tcW w:w="0" w:type="dxa"/>
            <w:vAlign w:val="bottom"/>
          </w:tcPr>
          <w:p>
            <w:pPr>
              <w:spacing w:after="0"/>
              <w:rPr>
                <w:sz w:val="1"/>
                <w:szCs w:val="1"/>
                <w:color w:val="auto"/>
              </w:rPr>
            </w:pPr>
          </w:p>
        </w:tc>
      </w:tr>
      <w:tr>
        <w:trPr>
          <w:trHeight w:val="405"/>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5. Other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35</w:t>
            </w:r>
          </w:p>
        </w:tc>
        <w:tc>
          <w:tcPr>
            <w:tcW w:w="0" w:type="dxa"/>
            <w:vAlign w:val="bottom"/>
          </w:tcPr>
          <w:p>
            <w:pPr>
              <w:spacing w:after="0"/>
              <w:rPr>
                <w:sz w:val="1"/>
                <w:szCs w:val="1"/>
                <w:color w:val="auto"/>
              </w:rPr>
            </w:pPr>
          </w:p>
        </w:tc>
      </w:tr>
      <w:tr>
        <w:trPr>
          <w:trHeight w:val="297"/>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6. Exhibits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36</w:t>
            </w:r>
          </w:p>
        </w:tc>
        <w:tc>
          <w:tcPr>
            <w:tcW w:w="0" w:type="dxa"/>
            <w:vAlign w:val="bottom"/>
          </w:tcPr>
          <w:p>
            <w:pPr>
              <w:spacing w:after="0"/>
              <w:rPr>
                <w:sz w:val="1"/>
                <w:szCs w:val="1"/>
                <w:color w:val="auto"/>
              </w:rPr>
            </w:pPr>
          </w:p>
        </w:tc>
      </w:tr>
      <w:tr>
        <w:trPr>
          <w:trHeight w:val="297"/>
        </w:trPr>
        <w:tc>
          <w:tcPr>
            <w:tcW w:w="10460" w:type="dxa"/>
            <w:vAlign w:val="bottom"/>
          </w:tcPr>
          <w:p>
            <w:pPr>
              <w:ind w:left="1200"/>
              <w:spacing w:after="0"/>
              <w:rPr>
                <w:sz w:val="20"/>
                <w:szCs w:val="20"/>
                <w:color w:val="auto"/>
              </w:rPr>
            </w:pPr>
            <w:r>
              <w:rPr>
                <w:rFonts w:ascii="Times New Roman" w:cs="Times New Roman" w:eastAsia="Times New Roman" w:hAnsi="Times New Roman"/>
                <w:sz w:val="20"/>
                <w:szCs w:val="20"/>
                <w:color w:val="0000FF"/>
              </w:rPr>
              <w:t>SIGNATURES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 xml:space="preserve">We have applied for various trademarks that we use in connection with the operation of our business. This Quarterly Report may also contain trademarks, service marks and trade names of third parties, which are the property of their respective owners. Our use or display of third parties’ trademarks, service marks, trade names or products in this Quarterly Report is not intended to, and does not, imply a relationship with, or endorsement or sponsorship by, us. Solely for convenience, the trademarks, service marks and trade names referred to in this Quarterly Report may appear without the ®, </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20"/>
          <w:szCs w:val="20"/>
          <w:color w:val="auto"/>
        </w:rPr>
        <w:t xml:space="preserve"> symbols, but the omission of such references is not intended to indicate, in any way, that we will not assert, to the fullest extent under applicable law, our rights or that the applicable owner of these trademarks, service marks and trade names will not assert, to the fullest extent under applicable law, its rights.</w:t>
      </w:r>
    </w:p>
    <w:p>
      <w:pPr>
        <w:spacing w:after="0" w:line="18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auto"/>
        </w:rPr>
        <w:t>From time to time, we may use our website or our LinkedIn profile at www.linkedin.com/company/black-diamond-therapeutics to distribute material information. Our financial and other material information is routinely posted to and accessible on the Investors section of our website, available at www.blackdiamondtherapeutics.com. Investors are encouraged to review the Investors section of our website because we may post material information on that site that is not otherwise disseminated by us. Information that is contained in and can be accessed through our website or our LinkedIn page is not incorporated into, and does not form a part of, this Quarterly Report.</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140" w:type="dxa"/>
            <w:vAlign w:val="bottom"/>
          </w:tcPr>
          <w:p>
            <w:pPr>
              <w:jc w:val="center"/>
              <w:ind w:left="3021"/>
              <w:spacing w:after="0"/>
              <w:rPr>
                <w:sz w:val="20"/>
                <w:szCs w:val="20"/>
                <w:color w:val="auto"/>
              </w:rPr>
            </w:pPr>
            <w:r>
              <w:rPr>
                <w:rFonts w:ascii="Times New Roman" w:cs="Times New Roman" w:eastAsia="Times New Roman" w:hAnsi="Times New Roman"/>
                <w:sz w:val="20"/>
                <w:szCs w:val="20"/>
                <w:b w:val="1"/>
                <w:bCs w:val="1"/>
                <w:color w:val="auto"/>
                <w:w w:val="98"/>
              </w:rPr>
              <w:t>Part I - FINANCIAL INFORMATION</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8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 Condensed Consolidated Financial Statements (Unaudited)</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140" w:type="dxa"/>
            <w:vAlign w:val="bottom"/>
          </w:tcPr>
          <w:p>
            <w:pPr>
              <w:jc w:val="center"/>
              <w:ind w:left="3021"/>
              <w:spacing w:after="0"/>
              <w:rPr>
                <w:sz w:val="20"/>
                <w:szCs w:val="20"/>
                <w:color w:val="auto"/>
              </w:rPr>
            </w:pPr>
            <w:r>
              <w:rPr>
                <w:rFonts w:ascii="Times New Roman" w:cs="Times New Roman" w:eastAsia="Times New Roman" w:hAnsi="Times New Roman"/>
                <w:sz w:val="20"/>
                <w:szCs w:val="20"/>
                <w:b w:val="1"/>
                <w:bCs w:val="1"/>
                <w:color w:val="auto"/>
                <w:w w:val="99"/>
              </w:rPr>
              <w:t>Black Diamond Therapeutics, Inc.</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140" w:type="dxa"/>
            <w:vAlign w:val="bottom"/>
          </w:tcPr>
          <w:p>
            <w:pPr>
              <w:jc w:val="center"/>
              <w:ind w:left="3001"/>
              <w:spacing w:after="0"/>
              <w:rPr>
                <w:sz w:val="20"/>
                <w:szCs w:val="20"/>
                <w:color w:val="auto"/>
              </w:rPr>
            </w:pPr>
            <w:r>
              <w:rPr>
                <w:rFonts w:ascii="Times New Roman" w:cs="Times New Roman" w:eastAsia="Times New Roman" w:hAnsi="Times New Roman"/>
                <w:sz w:val="20"/>
                <w:szCs w:val="20"/>
                <w:b w:val="1"/>
                <w:bCs w:val="1"/>
                <w:color w:val="auto"/>
                <w:w w:val="99"/>
              </w:rPr>
              <w:t>Condensed Consolidated Balance Sheets (Unaudited)</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8140" w:type="dxa"/>
            <w:vAlign w:val="bottom"/>
          </w:tcPr>
          <w:p>
            <w:pPr>
              <w:jc w:val="center"/>
              <w:ind w:left="3021"/>
              <w:spacing w:after="0"/>
              <w:rPr>
                <w:sz w:val="20"/>
                <w:szCs w:val="20"/>
                <w:color w:val="auto"/>
              </w:rPr>
            </w:pPr>
            <w:r>
              <w:rPr>
                <w:rFonts w:ascii="Times New Roman" w:cs="Times New Roman" w:eastAsia="Times New Roman" w:hAnsi="Times New Roman"/>
                <w:sz w:val="20"/>
                <w:szCs w:val="20"/>
                <w:b w:val="1"/>
                <w:bCs w:val="1"/>
                <w:color w:val="auto"/>
                <w:w w:val="98"/>
              </w:rPr>
              <w:t>(in thousands, except share and per share data)</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8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As of</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1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8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March 31,</w:t>
            </w:r>
          </w:p>
        </w:tc>
        <w:tc>
          <w:tcPr>
            <w:tcW w:w="18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8"/>
              </w:rPr>
              <w:t>December 31,</w:t>
            </w:r>
          </w:p>
        </w:tc>
        <w:tc>
          <w:tcPr>
            <w:tcW w:w="0" w:type="dxa"/>
            <w:vAlign w:val="bottom"/>
          </w:tcPr>
          <w:p>
            <w:pPr>
              <w:spacing w:after="0"/>
              <w:rPr>
                <w:sz w:val="1"/>
                <w:szCs w:val="1"/>
                <w:color w:val="auto"/>
              </w:rPr>
            </w:pPr>
          </w:p>
        </w:tc>
      </w:tr>
      <w:tr>
        <w:trPr>
          <w:trHeight w:val="258"/>
        </w:trPr>
        <w:tc>
          <w:tcPr>
            <w:tcW w:w="8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21"/>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Current assets: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1"/>
        </w:trPr>
        <w:tc>
          <w:tcPr>
            <w:tcW w:w="8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30,071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20,990</w:t>
            </w:r>
          </w:p>
        </w:tc>
        <w:tc>
          <w:tcPr>
            <w:tcW w:w="0" w:type="dxa"/>
            <w:vAlign w:val="bottom"/>
          </w:tcPr>
          <w:p>
            <w:pPr>
              <w:spacing w:after="0"/>
              <w:rPr>
                <w:sz w:val="1"/>
                <w:szCs w:val="1"/>
                <w:color w:val="auto"/>
              </w:rPr>
            </w:pPr>
          </w:p>
        </w:tc>
      </w:tr>
      <w:tr>
        <w:trPr>
          <w:trHeight w:val="263"/>
        </w:trPr>
        <w:tc>
          <w:tcPr>
            <w:tcW w:w="8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Investments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88,187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107,662</w:t>
            </w:r>
          </w:p>
        </w:tc>
        <w:tc>
          <w:tcPr>
            <w:tcW w:w="0" w:type="dxa"/>
            <w:vAlign w:val="bottom"/>
          </w:tcPr>
          <w:p>
            <w:pPr>
              <w:spacing w:after="0"/>
              <w:rPr>
                <w:sz w:val="1"/>
                <w:szCs w:val="1"/>
                <w:color w:val="auto"/>
              </w:rPr>
            </w:pPr>
          </w:p>
        </w:tc>
      </w:tr>
      <w:tr>
        <w:trPr>
          <w:trHeight w:val="34"/>
        </w:trPr>
        <w:tc>
          <w:tcPr>
            <w:tcW w:w="8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1"/>
        </w:trPr>
        <w:tc>
          <w:tcPr>
            <w:tcW w:w="8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4,709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3,788</w:t>
            </w:r>
          </w:p>
        </w:tc>
        <w:tc>
          <w:tcPr>
            <w:tcW w:w="0" w:type="dxa"/>
            <w:vAlign w:val="bottom"/>
          </w:tcPr>
          <w:p>
            <w:pPr>
              <w:spacing w:after="0"/>
              <w:rPr>
                <w:sz w:val="1"/>
                <w:szCs w:val="1"/>
                <w:color w:val="auto"/>
              </w:rPr>
            </w:pPr>
          </w:p>
        </w:tc>
      </w:tr>
      <w:tr>
        <w:trPr>
          <w:trHeight w:val="256"/>
        </w:trPr>
        <w:tc>
          <w:tcPr>
            <w:tcW w:w="81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Total current assets</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122,967</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132,440</w:t>
            </w:r>
          </w:p>
        </w:tc>
        <w:tc>
          <w:tcPr>
            <w:tcW w:w="0" w:type="dxa"/>
            <w:vAlign w:val="bottom"/>
          </w:tcPr>
          <w:p>
            <w:pPr>
              <w:spacing w:after="0"/>
              <w:rPr>
                <w:sz w:val="1"/>
                <w:szCs w:val="1"/>
                <w:color w:val="auto"/>
              </w:rPr>
            </w:pPr>
          </w:p>
        </w:tc>
      </w:tr>
      <w:tr>
        <w:trPr>
          <w:trHeight w:val="35"/>
        </w:trPr>
        <w:tc>
          <w:tcPr>
            <w:tcW w:w="8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0" w:type="dxa"/>
            <w:vAlign w:val="bottom"/>
          </w:tcPr>
          <w:p>
            <w:pPr>
              <w:spacing w:after="0"/>
              <w:rPr>
                <w:sz w:val="1"/>
                <w:szCs w:val="1"/>
                <w:color w:val="auto"/>
              </w:rPr>
            </w:pPr>
          </w:p>
        </w:tc>
      </w:tr>
      <w:tr>
        <w:trPr>
          <w:trHeight w:val="276"/>
        </w:trPr>
        <w:tc>
          <w:tcPr>
            <w:tcW w:w="8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Restricted cash</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w:t>
            </w:r>
          </w:p>
        </w:tc>
        <w:tc>
          <w:tcPr>
            <w:tcW w:w="0" w:type="dxa"/>
            <w:vAlign w:val="bottom"/>
          </w:tcPr>
          <w:p>
            <w:pPr>
              <w:spacing w:after="0"/>
              <w:rPr>
                <w:sz w:val="1"/>
                <w:szCs w:val="1"/>
                <w:color w:val="auto"/>
              </w:rPr>
            </w:pPr>
          </w:p>
        </w:tc>
      </w:tr>
      <w:tr>
        <w:trPr>
          <w:trHeight w:val="35"/>
        </w:trPr>
        <w:tc>
          <w:tcPr>
            <w:tcW w:w="8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Right-of-use assets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8,757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9,303</w:t>
            </w:r>
          </w:p>
        </w:tc>
        <w:tc>
          <w:tcPr>
            <w:tcW w:w="0" w:type="dxa"/>
            <w:vAlign w:val="bottom"/>
          </w:tcPr>
          <w:p>
            <w:pPr>
              <w:spacing w:after="0"/>
              <w:rPr>
                <w:sz w:val="1"/>
                <w:szCs w:val="1"/>
                <w:color w:val="auto"/>
              </w:rPr>
            </w:pPr>
          </w:p>
        </w:tc>
      </w:tr>
      <w:tr>
        <w:trPr>
          <w:trHeight w:val="276"/>
        </w:trPr>
        <w:tc>
          <w:tcPr>
            <w:tcW w:w="8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non-current assets</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35"/>
        </w:trPr>
        <w:tc>
          <w:tcPr>
            <w:tcW w:w="8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8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Total assets</w:t>
            </w: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132,922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143,010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8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Current liabilities: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w:t>
            </w:r>
          </w:p>
        </w:tc>
        <w:tc>
          <w:tcPr>
            <w:tcW w:w="0" w:type="dxa"/>
            <w:vAlign w:val="bottom"/>
          </w:tcPr>
          <w:p>
            <w:pPr>
              <w:spacing w:after="0"/>
              <w:rPr>
                <w:sz w:val="1"/>
                <w:szCs w:val="1"/>
                <w:color w:val="auto"/>
              </w:rPr>
            </w:pPr>
          </w:p>
        </w:tc>
      </w:tr>
      <w:tr>
        <w:trPr>
          <w:trHeight w:val="35"/>
        </w:trPr>
        <w:tc>
          <w:tcPr>
            <w:tcW w:w="8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0"/>
        </w:trPr>
        <w:tc>
          <w:tcPr>
            <w:tcW w:w="8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11,565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15,152</w:t>
            </w:r>
          </w:p>
        </w:tc>
        <w:tc>
          <w:tcPr>
            <w:tcW w:w="0" w:type="dxa"/>
            <w:vAlign w:val="bottom"/>
          </w:tcPr>
          <w:p>
            <w:pPr>
              <w:spacing w:after="0"/>
              <w:rPr>
                <w:sz w:val="1"/>
                <w:szCs w:val="1"/>
                <w:color w:val="auto"/>
              </w:rPr>
            </w:pPr>
          </w:p>
        </w:tc>
      </w:tr>
      <w:tr>
        <w:trPr>
          <w:trHeight w:val="256"/>
        </w:trPr>
        <w:tc>
          <w:tcPr>
            <w:tcW w:w="8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14,534</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15,731</w:t>
            </w:r>
          </w:p>
        </w:tc>
        <w:tc>
          <w:tcPr>
            <w:tcW w:w="0" w:type="dxa"/>
            <w:vAlign w:val="bottom"/>
          </w:tcPr>
          <w:p>
            <w:pPr>
              <w:spacing w:after="0"/>
              <w:rPr>
                <w:sz w:val="1"/>
                <w:szCs w:val="1"/>
                <w:color w:val="auto"/>
              </w:rPr>
            </w:pPr>
          </w:p>
        </w:tc>
      </w:tr>
      <w:tr>
        <w:trPr>
          <w:trHeight w:val="35"/>
        </w:trPr>
        <w:tc>
          <w:tcPr>
            <w:tcW w:w="8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Non-current operating lease liabilities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14,088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15,068</w:t>
            </w:r>
          </w:p>
        </w:tc>
        <w:tc>
          <w:tcPr>
            <w:tcW w:w="0" w:type="dxa"/>
            <w:vAlign w:val="bottom"/>
          </w:tcPr>
          <w:p>
            <w:pPr>
              <w:spacing w:after="0"/>
              <w:rPr>
                <w:sz w:val="1"/>
                <w:szCs w:val="1"/>
                <w:color w:val="auto"/>
              </w:rPr>
            </w:pPr>
          </w:p>
        </w:tc>
      </w:tr>
      <w:tr>
        <w:trPr>
          <w:trHeight w:val="256"/>
        </w:trPr>
        <w:tc>
          <w:tcPr>
            <w:tcW w:w="8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liabilities</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28,622</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30,799</w:t>
            </w:r>
          </w:p>
        </w:tc>
        <w:tc>
          <w:tcPr>
            <w:tcW w:w="0" w:type="dxa"/>
            <w:vAlign w:val="bottom"/>
          </w:tcPr>
          <w:p>
            <w:pPr>
              <w:spacing w:after="0"/>
              <w:rPr>
                <w:sz w:val="1"/>
                <w:szCs w:val="1"/>
                <w:color w:val="auto"/>
              </w:rPr>
            </w:pPr>
          </w:p>
        </w:tc>
      </w:tr>
      <w:tr>
        <w:trPr>
          <w:trHeight w:val="35"/>
        </w:trPr>
        <w:tc>
          <w:tcPr>
            <w:tcW w:w="8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Commitments and contingencies (Note 11)</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Stockholders' equity:</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8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7"/>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Preferred stock, $0.0001 par value; 10,000,000 shares authorized at March 31, 2026 and</w:t>
            </w:r>
          </w:p>
        </w:tc>
        <w:tc>
          <w:tcPr>
            <w:tcW w:w="240" w:type="dxa"/>
            <w:vAlign w:val="bottom"/>
            <w:shd w:val="clear" w:color="auto" w:fill="CCEEFF"/>
          </w:tcPr>
          <w:p>
            <w:pPr>
              <w:spacing w:after="0"/>
              <w:rPr>
                <w:sz w:val="21"/>
                <w:szCs w:val="21"/>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1"/>
                <w:szCs w:val="21"/>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9"/>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December 31, 2025; no shares issued or outstanding at March 31, 2026 and December 31, 2025</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Common stock; $0.0001 par value; 500,000,000 shares authorized at March 31, 2026 and</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9"/>
              </w:rPr>
              <w:t>December 31, 2025; 57,301,774 shares issued and outstanding at March 31, 2026 and 57,138,057</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8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shares issued and outstanding at December 31, 2025</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35"/>
        </w:trPr>
        <w:tc>
          <w:tcPr>
            <w:tcW w:w="8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8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578,104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576,842</w:t>
            </w:r>
          </w:p>
        </w:tc>
        <w:tc>
          <w:tcPr>
            <w:tcW w:w="0" w:type="dxa"/>
            <w:vAlign w:val="bottom"/>
          </w:tcPr>
          <w:p>
            <w:pPr>
              <w:spacing w:after="0"/>
              <w:rPr>
                <w:sz w:val="1"/>
                <w:szCs w:val="1"/>
                <w:color w:val="auto"/>
              </w:rPr>
            </w:pPr>
          </w:p>
        </w:tc>
      </w:tr>
      <w:tr>
        <w:trPr>
          <w:trHeight w:val="263"/>
        </w:trPr>
        <w:tc>
          <w:tcPr>
            <w:tcW w:w="8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Accumulated other comprehensive (loss) income</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35"/>
        </w:trPr>
        <w:tc>
          <w:tcPr>
            <w:tcW w:w="8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0"/>
        </w:trPr>
        <w:tc>
          <w:tcPr>
            <w:tcW w:w="8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Accumulated deficit</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(473,776)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(464,740)</w:t>
            </w:r>
          </w:p>
        </w:tc>
        <w:tc>
          <w:tcPr>
            <w:tcW w:w="0" w:type="dxa"/>
            <w:vAlign w:val="bottom"/>
          </w:tcPr>
          <w:p>
            <w:pPr>
              <w:spacing w:after="0"/>
              <w:rPr>
                <w:sz w:val="1"/>
                <w:szCs w:val="1"/>
                <w:color w:val="auto"/>
              </w:rPr>
            </w:pPr>
          </w:p>
        </w:tc>
      </w:tr>
      <w:tr>
        <w:trPr>
          <w:trHeight w:val="256"/>
        </w:trPr>
        <w:tc>
          <w:tcPr>
            <w:tcW w:w="8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104,300</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112,211</w:t>
            </w:r>
          </w:p>
        </w:tc>
        <w:tc>
          <w:tcPr>
            <w:tcW w:w="0" w:type="dxa"/>
            <w:vAlign w:val="bottom"/>
          </w:tcPr>
          <w:p>
            <w:pPr>
              <w:spacing w:after="0"/>
              <w:rPr>
                <w:sz w:val="1"/>
                <w:szCs w:val="1"/>
                <w:color w:val="auto"/>
              </w:rPr>
            </w:pPr>
          </w:p>
        </w:tc>
      </w:tr>
      <w:tr>
        <w:trPr>
          <w:trHeight w:val="34"/>
        </w:trPr>
        <w:tc>
          <w:tcPr>
            <w:tcW w:w="8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132,922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143,010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unaudited condensed consolidated financial statements.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79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790"/>
        </w:trPr>
        <w:tc>
          <w:tcPr>
            <w:tcW w:w="1420" w:type="dxa"/>
            <w:vAlign w:val="bottom"/>
            <w:tcBorders>
              <w:top w:val="single" w:sz="8" w:color="0000FF"/>
            </w:tcBorders>
          </w:tcPr>
          <w:p>
            <w:pPr>
              <w:spacing w:after="0"/>
              <w:rPr>
                <w:sz w:val="24"/>
                <w:szCs w:val="24"/>
                <w:color w:val="auto"/>
              </w:rPr>
            </w:pPr>
          </w:p>
        </w:tc>
        <w:tc>
          <w:tcPr>
            <w:tcW w:w="6480" w:type="dxa"/>
            <w:vAlign w:val="bottom"/>
          </w:tcPr>
          <w:p>
            <w:pPr>
              <w:jc w:val="center"/>
              <w:ind w:left="1841"/>
              <w:spacing w:after="0"/>
              <w:rPr>
                <w:sz w:val="20"/>
                <w:szCs w:val="20"/>
                <w:color w:val="auto"/>
              </w:rPr>
            </w:pPr>
            <w:r>
              <w:rPr>
                <w:rFonts w:ascii="Times New Roman" w:cs="Times New Roman" w:eastAsia="Times New Roman" w:hAnsi="Times New Roman"/>
                <w:sz w:val="20"/>
                <w:szCs w:val="20"/>
                <w:b w:val="1"/>
                <w:bCs w:val="1"/>
                <w:color w:val="auto"/>
                <w:w w:val="99"/>
              </w:rPr>
              <w:t>Black Diamond Therapeutics, Inc.</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1420" w:type="dxa"/>
            <w:vAlign w:val="bottom"/>
          </w:tcPr>
          <w:p>
            <w:pPr>
              <w:spacing w:after="0"/>
              <w:rPr>
                <w:sz w:val="19"/>
                <w:szCs w:val="19"/>
                <w:color w:val="auto"/>
              </w:rPr>
            </w:pPr>
          </w:p>
        </w:tc>
        <w:tc>
          <w:tcPr>
            <w:tcW w:w="8680" w:type="dxa"/>
            <w:vAlign w:val="bottom"/>
            <w:gridSpan w:val="5"/>
          </w:tcPr>
          <w:p>
            <w:pPr>
              <w:jc w:val="center"/>
              <w:ind w:right="161"/>
              <w:spacing w:after="0"/>
              <w:rPr>
                <w:sz w:val="20"/>
                <w:szCs w:val="20"/>
                <w:color w:val="auto"/>
              </w:rPr>
            </w:pPr>
            <w:r>
              <w:rPr>
                <w:rFonts w:ascii="Times New Roman" w:cs="Times New Roman" w:eastAsia="Times New Roman" w:hAnsi="Times New Roman"/>
                <w:sz w:val="20"/>
                <w:szCs w:val="20"/>
                <w:b w:val="1"/>
                <w:bCs w:val="1"/>
                <w:color w:val="auto"/>
                <w:w w:val="98"/>
              </w:rPr>
              <w:t>Condensed Consolidated Statements of Operations and Comprehensive Income (Loss) (Unaudited)</w:t>
            </w:r>
          </w:p>
        </w:tc>
        <w:tc>
          <w:tcPr>
            <w:tcW w:w="1140" w:type="dxa"/>
            <w:vAlign w:val="bottom"/>
          </w:tcPr>
          <w:p>
            <w:pPr>
              <w:spacing w:after="0"/>
              <w:rPr>
                <w:sz w:val="19"/>
                <w:szCs w:val="19"/>
                <w:color w:val="auto"/>
              </w:rPr>
            </w:pPr>
          </w:p>
        </w:tc>
      </w:tr>
      <w:tr>
        <w:trPr>
          <w:trHeight w:val="262"/>
        </w:trPr>
        <w:tc>
          <w:tcPr>
            <w:tcW w:w="1420" w:type="dxa"/>
            <w:vAlign w:val="bottom"/>
          </w:tcPr>
          <w:p>
            <w:pPr>
              <w:spacing w:after="0"/>
              <w:rPr>
                <w:sz w:val="22"/>
                <w:szCs w:val="22"/>
                <w:color w:val="auto"/>
              </w:rPr>
            </w:pPr>
          </w:p>
        </w:tc>
        <w:tc>
          <w:tcPr>
            <w:tcW w:w="6480" w:type="dxa"/>
            <w:vAlign w:val="bottom"/>
          </w:tcPr>
          <w:p>
            <w:pPr>
              <w:jc w:val="center"/>
              <w:ind w:left="1841"/>
              <w:spacing w:after="0"/>
              <w:rPr>
                <w:sz w:val="20"/>
                <w:szCs w:val="20"/>
                <w:color w:val="auto"/>
              </w:rPr>
            </w:pPr>
            <w:r>
              <w:rPr>
                <w:rFonts w:ascii="Times New Roman" w:cs="Times New Roman" w:eastAsia="Times New Roman" w:hAnsi="Times New Roman"/>
                <w:sz w:val="20"/>
                <w:szCs w:val="20"/>
                <w:b w:val="1"/>
                <w:bCs w:val="1"/>
                <w:color w:val="auto"/>
                <w:w w:val="98"/>
              </w:rPr>
              <w:t>(in thousands, except share and per share data)</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68"/>
        </w:trPr>
        <w:tc>
          <w:tcPr>
            <w:tcW w:w="14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960" w:type="dxa"/>
            <w:vAlign w:val="bottom"/>
            <w:gridSpan w:val="4"/>
          </w:tcPr>
          <w:p>
            <w:pPr>
              <w:jc w:val="right"/>
              <w:ind w:right="741"/>
              <w:spacing w:after="0"/>
              <w:rPr>
                <w:sz w:val="20"/>
                <w:szCs w:val="20"/>
                <w:color w:val="auto"/>
              </w:rPr>
            </w:pPr>
            <w:r>
              <w:rPr>
                <w:rFonts w:ascii="Times New Roman" w:cs="Times New Roman" w:eastAsia="Times New Roman" w:hAnsi="Times New Roman"/>
                <w:sz w:val="20"/>
                <w:szCs w:val="20"/>
                <w:color w:val="auto"/>
              </w:rPr>
              <w:t>Three Months Ended</w:t>
            </w:r>
          </w:p>
        </w:tc>
      </w:tr>
      <w:tr>
        <w:trPr>
          <w:trHeight w:val="258"/>
        </w:trPr>
        <w:tc>
          <w:tcPr>
            <w:tcW w:w="14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20" w:type="dxa"/>
            <w:vAlign w:val="bottom"/>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March 31,</w:t>
            </w:r>
          </w:p>
        </w:tc>
        <w:tc>
          <w:tcPr>
            <w:tcW w:w="1140" w:type="dxa"/>
            <w:vAlign w:val="bottom"/>
          </w:tcPr>
          <w:p>
            <w:pPr>
              <w:spacing w:after="0"/>
              <w:rPr>
                <w:sz w:val="22"/>
                <w:szCs w:val="22"/>
                <w:color w:val="auto"/>
              </w:rPr>
            </w:pPr>
          </w:p>
        </w:tc>
      </w:tr>
      <w:tr>
        <w:trPr>
          <w:trHeight w:val="34"/>
        </w:trPr>
        <w:tc>
          <w:tcPr>
            <w:tcW w:w="1420" w:type="dxa"/>
            <w:vAlign w:val="bottom"/>
          </w:tcPr>
          <w:p>
            <w:pPr>
              <w:spacing w:after="0"/>
              <w:rPr>
                <w:sz w:val="3"/>
                <w:szCs w:val="3"/>
                <w:color w:val="auto"/>
              </w:rPr>
            </w:pPr>
          </w:p>
        </w:tc>
        <w:tc>
          <w:tcPr>
            <w:tcW w:w="64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6"/>
        </w:trPr>
        <w:tc>
          <w:tcPr>
            <w:tcW w:w="14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rPr>
              <w:t>2025</w:t>
            </w:r>
          </w:p>
        </w:tc>
      </w:tr>
      <w:tr>
        <w:trPr>
          <w:trHeight w:val="35"/>
        </w:trPr>
        <w:tc>
          <w:tcPr>
            <w:tcW w:w="7900" w:type="dxa"/>
            <w:vAlign w:val="bottom"/>
            <w:tcBorders>
              <w:bottom w:val="single" w:sz="8" w:color="CCEEFF"/>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70"/>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License revenue</w:t>
            </w:r>
          </w:p>
        </w:tc>
        <w:tc>
          <w:tcPr>
            <w:tcW w:w="38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70,000</w:t>
            </w:r>
          </w:p>
        </w:tc>
      </w:tr>
      <w:tr>
        <w:trPr>
          <w:trHeight w:val="263"/>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Operating expenses:</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5"/>
        </w:trPr>
        <w:tc>
          <w:tcPr>
            <w:tcW w:w="790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7"/>
        </w:trPr>
        <w:tc>
          <w:tcPr>
            <w:tcW w:w="7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8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10,506</w:t>
            </w:r>
          </w:p>
        </w:tc>
      </w:tr>
      <w:tr>
        <w:trPr>
          <w:trHeight w:val="263"/>
        </w:trPr>
        <w:tc>
          <w:tcPr>
            <w:tcW w:w="7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4,964</w:t>
            </w:r>
          </w:p>
        </w:tc>
      </w:tr>
      <w:tr>
        <w:trPr>
          <w:trHeight w:val="35"/>
        </w:trPr>
        <w:tc>
          <w:tcPr>
            <w:tcW w:w="7900" w:type="dxa"/>
            <w:vAlign w:val="bottom"/>
            <w:tcBorders>
              <w:bottom w:val="single" w:sz="8" w:color="CCEEFF"/>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90"/>
        </w:trPr>
        <w:tc>
          <w:tcPr>
            <w:tcW w:w="7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operating expenses</w:t>
            </w:r>
          </w:p>
        </w:tc>
        <w:tc>
          <w:tcPr>
            <w:tcW w:w="3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11,259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15,470</w:t>
            </w:r>
          </w:p>
        </w:tc>
      </w:tr>
      <w:tr>
        <w:trPr>
          <w:trHeight w:val="256"/>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Income (loss) from operations</w:t>
            </w:r>
          </w:p>
        </w:tc>
        <w:tc>
          <w:tcPr>
            <w:tcW w:w="3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(11,259)</w:t>
            </w: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54,530</w:t>
            </w:r>
          </w:p>
        </w:tc>
      </w:tr>
      <w:tr>
        <w:trPr>
          <w:trHeight w:val="35"/>
        </w:trPr>
        <w:tc>
          <w:tcPr>
            <w:tcW w:w="790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7"/>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income (expense):</w:t>
            </w:r>
          </w:p>
        </w:tc>
        <w:tc>
          <w:tcPr>
            <w:tcW w:w="3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r>
      <w:tr>
        <w:trPr>
          <w:trHeight w:val="263"/>
        </w:trPr>
        <w:tc>
          <w:tcPr>
            <w:tcW w:w="7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Interest income</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w:t>
            </w:r>
          </w:p>
        </w:tc>
      </w:tr>
      <w:tr>
        <w:trPr>
          <w:trHeight w:val="34"/>
        </w:trPr>
        <w:tc>
          <w:tcPr>
            <w:tcW w:w="790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7"/>
        </w:trPr>
        <w:tc>
          <w:tcPr>
            <w:tcW w:w="7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Other income (expense)</w:t>
            </w:r>
          </w:p>
        </w:tc>
        <w:tc>
          <w:tcPr>
            <w:tcW w:w="3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1,417</w:t>
            </w:r>
          </w:p>
        </w:tc>
      </w:tr>
      <w:tr>
        <w:trPr>
          <w:trHeight w:val="256"/>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Total other income (expense), net</w:t>
            </w:r>
          </w:p>
        </w:tc>
        <w:tc>
          <w:tcPr>
            <w:tcW w:w="3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2,223</w:t>
            </w: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2,012</w:t>
            </w:r>
          </w:p>
        </w:tc>
      </w:tr>
      <w:tr>
        <w:trPr>
          <w:trHeight w:val="34"/>
        </w:trPr>
        <w:tc>
          <w:tcPr>
            <w:tcW w:w="7900" w:type="dxa"/>
            <w:vAlign w:val="bottom"/>
            <w:tcBorders>
              <w:bottom w:val="single" w:sz="8" w:color="CCEEFF"/>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312"/>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 (loss)</w:t>
            </w: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(9,036)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56,542</w:t>
            </w:r>
          </w:p>
        </w:tc>
      </w:tr>
      <w:tr>
        <w:trPr>
          <w:trHeight w:val="20"/>
        </w:trPr>
        <w:tc>
          <w:tcPr>
            <w:tcW w:w="79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21"/>
        </w:trPr>
        <w:tc>
          <w:tcPr>
            <w:tcW w:w="14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7"/>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 (loss) per share - basic</w:t>
            </w:r>
          </w:p>
        </w:tc>
        <w:tc>
          <w:tcPr>
            <w:tcW w:w="38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63"/>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income (loss) per share - diluted</w:t>
            </w: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(0.16)</w:t>
            </w:r>
          </w:p>
        </w:tc>
        <w:tc>
          <w:tcPr>
            <w:tcW w:w="100" w:type="dxa"/>
            <w:vAlign w:val="bottom"/>
          </w:tcPr>
          <w:p>
            <w:pPr>
              <w:spacing w:after="0"/>
              <w:rPr>
                <w:sz w:val="22"/>
                <w:szCs w:val="22"/>
                <w:color w:val="auto"/>
              </w:rPr>
            </w:pPr>
          </w:p>
        </w:tc>
        <w:tc>
          <w:tcPr>
            <w:tcW w:w="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0.98</w:t>
            </w:r>
          </w:p>
        </w:tc>
      </w:tr>
      <w:tr>
        <w:trPr>
          <w:trHeight w:val="35"/>
        </w:trPr>
        <w:tc>
          <w:tcPr>
            <w:tcW w:w="790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7900" w:type="dxa"/>
            <w:vAlign w:val="bottom"/>
            <w:gridSpan w:val="2"/>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Weighted average common shares outstanding - basic</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57,233,413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56,663,798</w:t>
            </w:r>
          </w:p>
        </w:tc>
      </w:tr>
      <w:tr>
        <w:trPr>
          <w:trHeight w:val="35"/>
        </w:trPr>
        <w:tc>
          <w:tcPr>
            <w:tcW w:w="790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7"/>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Weighted average common shares outstanding - diluted</w:t>
            </w:r>
          </w:p>
        </w:tc>
        <w:tc>
          <w:tcPr>
            <w:tcW w:w="3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57,233,413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57,673,099</w:t>
            </w:r>
          </w:p>
        </w:tc>
      </w:tr>
      <w:tr>
        <w:trPr>
          <w:trHeight w:val="270"/>
        </w:trPr>
        <w:tc>
          <w:tcPr>
            <w:tcW w:w="790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7"/>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Comprehensive income (loss):</w:t>
            </w:r>
          </w:p>
        </w:tc>
        <w:tc>
          <w:tcPr>
            <w:tcW w:w="3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r>
      <w:tr>
        <w:trPr>
          <w:trHeight w:val="263"/>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income (loss)</w:t>
            </w: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(9,036)</w:t>
            </w:r>
          </w:p>
        </w:tc>
        <w:tc>
          <w:tcPr>
            <w:tcW w:w="100" w:type="dxa"/>
            <w:vAlign w:val="bottom"/>
          </w:tcPr>
          <w:p>
            <w:pPr>
              <w:spacing w:after="0"/>
              <w:rPr>
                <w:sz w:val="22"/>
                <w:szCs w:val="22"/>
                <w:color w:val="auto"/>
              </w:rPr>
            </w:pPr>
          </w:p>
        </w:tc>
        <w:tc>
          <w:tcPr>
            <w:tcW w:w="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56,542</w:t>
            </w:r>
          </w:p>
        </w:tc>
      </w:tr>
      <w:tr>
        <w:trPr>
          <w:trHeight w:val="35"/>
        </w:trPr>
        <w:tc>
          <w:tcPr>
            <w:tcW w:w="790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7"/>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3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r>
      <w:tr>
        <w:trPr>
          <w:trHeight w:val="263"/>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Unrealized gain (loss) on investments, net</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4"/>
        </w:trPr>
        <w:tc>
          <w:tcPr>
            <w:tcW w:w="7900" w:type="dxa"/>
            <w:vAlign w:val="bottom"/>
            <w:tcBorders>
              <w:bottom w:val="single" w:sz="8" w:color="CCEEFF"/>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312"/>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Comprehensive income (loss)</w:t>
            </w: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(9,173)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56,499</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826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04"/>
        </w:trPr>
        <w:tc>
          <w:tcPr>
            <w:tcW w:w="6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684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Black Diamond Therapeutics, Inc.</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160" w:type="dxa"/>
            <w:vAlign w:val="bottom"/>
            <w:gridSpan w:val="2"/>
          </w:tcPr>
          <w:p>
            <w:pPr>
              <w:jc w:val="center"/>
              <w:ind w:left="1161"/>
              <w:spacing w:after="0"/>
              <w:rPr>
                <w:sz w:val="20"/>
                <w:szCs w:val="20"/>
                <w:color w:val="auto"/>
              </w:rPr>
            </w:pPr>
            <w:r>
              <w:rPr>
                <w:rFonts w:ascii="Times New Roman" w:cs="Times New Roman" w:eastAsia="Times New Roman" w:hAnsi="Times New Roman"/>
                <w:sz w:val="20"/>
                <w:szCs w:val="20"/>
                <w:b w:val="1"/>
                <w:bCs w:val="1"/>
                <w:color w:val="auto"/>
                <w:w w:val="98"/>
              </w:rPr>
              <w:t>Condensed Consolidated Statements of Cash Flows (Unaudited)</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2"/>
        </w:trPr>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840" w:type="dxa"/>
            <w:vAlign w:val="bottom"/>
          </w:tcPr>
          <w:p>
            <w:pPr>
              <w:jc w:val="center"/>
              <w:ind w:left="1461"/>
              <w:spacing w:after="0"/>
              <w:rPr>
                <w:sz w:val="20"/>
                <w:szCs w:val="20"/>
                <w:color w:val="auto"/>
              </w:rPr>
            </w:pPr>
            <w:r>
              <w:rPr>
                <w:rFonts w:ascii="Times New Roman" w:cs="Times New Roman" w:eastAsia="Times New Roman" w:hAnsi="Times New Roman"/>
                <w:sz w:val="20"/>
                <w:szCs w:val="20"/>
                <w:b w:val="1"/>
                <w:bCs w:val="1"/>
                <w:color w:val="auto"/>
                <w:w w:val="98"/>
              </w:rPr>
              <w:t>(in thousands)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8"/>
        </w:trPr>
        <w:tc>
          <w:tcPr>
            <w:tcW w:w="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0" w:type="dxa"/>
            <w:vAlign w:val="bottom"/>
            <w:gridSpan w:val="4"/>
          </w:tcPr>
          <w:p>
            <w:pPr>
              <w:jc w:val="right"/>
              <w:ind w:right="521"/>
              <w:spacing w:after="0"/>
              <w:rPr>
                <w:sz w:val="20"/>
                <w:szCs w:val="20"/>
                <w:color w:val="auto"/>
              </w:rPr>
            </w:pPr>
            <w:r>
              <w:rPr>
                <w:rFonts w:ascii="Times New Roman" w:cs="Times New Roman" w:eastAsia="Times New Roman" w:hAnsi="Times New Roman"/>
                <w:sz w:val="20"/>
                <w:szCs w:val="20"/>
                <w:color w:val="auto"/>
              </w:rPr>
              <w:t>Three Months Ended</w:t>
            </w:r>
          </w:p>
        </w:tc>
      </w:tr>
      <w:tr>
        <w:trPr>
          <w:trHeight w:val="258"/>
        </w:trPr>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March 31,</w:t>
            </w:r>
          </w:p>
        </w:tc>
        <w:tc>
          <w:tcPr>
            <w:tcW w:w="980" w:type="dxa"/>
            <w:vAlign w:val="bottom"/>
          </w:tcPr>
          <w:p>
            <w:pPr>
              <w:spacing w:after="0"/>
              <w:rPr>
                <w:sz w:val="22"/>
                <w:szCs w:val="22"/>
                <w:color w:val="auto"/>
              </w:rPr>
            </w:pPr>
          </w:p>
        </w:tc>
      </w:tr>
      <w:tr>
        <w:trPr>
          <w:trHeight w:val="34"/>
        </w:trPr>
        <w:tc>
          <w:tcPr>
            <w:tcW w:w="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70"/>
        </w:trPr>
        <w:tc>
          <w:tcPr>
            <w:tcW w:w="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r>
      <w:tr>
        <w:trPr>
          <w:trHeight w:val="34"/>
        </w:trPr>
        <w:tc>
          <w:tcPr>
            <w:tcW w:w="60" w:type="dxa"/>
            <w:vAlign w:val="bottom"/>
          </w:tcPr>
          <w:p>
            <w:pPr>
              <w:spacing w:after="0"/>
              <w:rPr>
                <w:sz w:val="3"/>
                <w:szCs w:val="3"/>
                <w:color w:val="auto"/>
              </w:rPr>
            </w:pPr>
          </w:p>
        </w:tc>
        <w:tc>
          <w:tcPr>
            <w:tcW w:w="8200" w:type="dxa"/>
            <w:vAlign w:val="bottom"/>
            <w:tcBorders>
              <w:bottom w:val="single" w:sz="8" w:color="CCEEFF"/>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60" w:type="dxa"/>
            <w:vAlign w:val="bottom"/>
          </w:tcPr>
          <w:p>
            <w:pPr>
              <w:spacing w:after="0"/>
              <w:rPr>
                <w:sz w:val="21"/>
                <w:szCs w:val="21"/>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62"/>
        </w:trPr>
        <w:tc>
          <w:tcPr>
            <w:tcW w:w="60" w:type="dxa"/>
            <w:vAlign w:val="bottom"/>
          </w:tcPr>
          <w:p>
            <w:pPr>
              <w:spacing w:after="0"/>
              <w:rPr>
                <w:sz w:val="5"/>
                <w:szCs w:val="5"/>
                <w:color w:val="auto"/>
              </w:rPr>
            </w:pPr>
          </w:p>
        </w:tc>
        <w:tc>
          <w:tcPr>
            <w:tcW w:w="8200" w:type="dxa"/>
            <w:vAlign w:val="bottom"/>
            <w:gridSpan w:val="2"/>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r>
        <w:trPr>
          <w:trHeight w:val="263"/>
        </w:trPr>
        <w:tc>
          <w:tcPr>
            <w:tcW w:w="60" w:type="dxa"/>
            <w:vAlign w:val="bottom"/>
          </w:tcPr>
          <w:p>
            <w:pPr>
              <w:spacing w:after="0"/>
              <w:rPr>
                <w:sz w:val="22"/>
                <w:szCs w:val="22"/>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income (loss)</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(9,036)</w:t>
            </w:r>
          </w:p>
        </w:tc>
        <w:tc>
          <w:tcPr>
            <w:tcW w:w="80" w:type="dxa"/>
            <w:vAlign w:val="bottom"/>
          </w:tcPr>
          <w:p>
            <w:pPr>
              <w:spacing w:after="0"/>
              <w:rPr>
                <w:sz w:val="22"/>
                <w:szCs w:val="22"/>
                <w:color w:val="auto"/>
              </w:rPr>
            </w:pPr>
          </w:p>
        </w:tc>
        <w:tc>
          <w:tcPr>
            <w:tcW w:w="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56,542</w:t>
            </w:r>
          </w:p>
        </w:tc>
      </w:tr>
      <w:tr>
        <w:trPr>
          <w:trHeight w:val="34"/>
        </w:trPr>
        <w:tc>
          <w:tcPr>
            <w:tcW w:w="60" w:type="dxa"/>
            <w:vAlign w:val="bottom"/>
          </w:tcPr>
          <w:p>
            <w:pPr>
              <w:spacing w:after="0"/>
              <w:rPr>
                <w:sz w:val="3"/>
                <w:szCs w:val="3"/>
                <w:color w:val="auto"/>
              </w:rPr>
            </w:pPr>
          </w:p>
        </w:tc>
        <w:tc>
          <w:tcPr>
            <w:tcW w:w="82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7"/>
        </w:trPr>
        <w:tc>
          <w:tcPr>
            <w:tcW w:w="60" w:type="dxa"/>
            <w:vAlign w:val="bottom"/>
          </w:tcPr>
          <w:p>
            <w:pPr>
              <w:spacing w:after="0"/>
              <w:rPr>
                <w:sz w:val="24"/>
                <w:szCs w:val="24"/>
                <w:color w:val="auto"/>
              </w:rPr>
            </w:pP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Adjustment to reconcile net income (loss) to net cash used in operating activities:</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63"/>
        </w:trPr>
        <w:tc>
          <w:tcPr>
            <w:tcW w:w="60" w:type="dxa"/>
            <w:vAlign w:val="bottom"/>
          </w:tcPr>
          <w:p>
            <w:pPr>
              <w:spacing w:after="0"/>
              <w:rPr>
                <w:sz w:val="22"/>
                <w:szCs w:val="22"/>
                <w:color w:val="auto"/>
              </w:rPr>
            </w:pPr>
          </w:p>
        </w:tc>
        <w:tc>
          <w:tcPr>
            <w:tcW w:w="8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1,447</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w:t>
            </w:r>
          </w:p>
        </w:tc>
      </w:tr>
      <w:tr>
        <w:trPr>
          <w:trHeight w:val="35"/>
        </w:trPr>
        <w:tc>
          <w:tcPr>
            <w:tcW w:w="60" w:type="dxa"/>
            <w:vAlign w:val="bottom"/>
          </w:tcPr>
          <w:p>
            <w:pPr>
              <w:spacing w:after="0"/>
              <w:rPr>
                <w:sz w:val="3"/>
                <w:szCs w:val="3"/>
                <w:color w:val="auto"/>
              </w:rPr>
            </w:pPr>
          </w:p>
        </w:tc>
        <w:tc>
          <w:tcPr>
            <w:tcW w:w="82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7"/>
        </w:trPr>
        <w:tc>
          <w:tcPr>
            <w:tcW w:w="60" w:type="dxa"/>
            <w:vAlign w:val="bottom"/>
          </w:tcPr>
          <w:p>
            <w:pPr>
              <w:spacing w:after="0"/>
              <w:rPr>
                <w:sz w:val="24"/>
                <w:szCs w:val="24"/>
                <w:color w:val="auto"/>
              </w:rPr>
            </w:pPr>
          </w:p>
        </w:tc>
        <w:tc>
          <w:tcPr>
            <w:tcW w:w="8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Depreciation expense</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63"/>
        </w:trPr>
        <w:tc>
          <w:tcPr>
            <w:tcW w:w="60" w:type="dxa"/>
            <w:vAlign w:val="bottom"/>
          </w:tcPr>
          <w:p>
            <w:pPr>
              <w:spacing w:after="0"/>
              <w:rPr>
                <w:sz w:val="22"/>
                <w:szCs w:val="22"/>
                <w:color w:val="auto"/>
              </w:rPr>
            </w:pPr>
          </w:p>
        </w:tc>
        <w:tc>
          <w:tcPr>
            <w:tcW w:w="8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(Accretion) amortization on investments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w:t>
            </w:r>
          </w:p>
        </w:tc>
      </w:tr>
      <w:tr>
        <w:trPr>
          <w:trHeight w:val="35"/>
        </w:trPr>
        <w:tc>
          <w:tcPr>
            <w:tcW w:w="60" w:type="dxa"/>
            <w:vAlign w:val="bottom"/>
          </w:tcPr>
          <w:p>
            <w:pPr>
              <w:spacing w:after="0"/>
              <w:rPr>
                <w:sz w:val="3"/>
                <w:szCs w:val="3"/>
                <w:color w:val="auto"/>
              </w:rPr>
            </w:pPr>
          </w:p>
        </w:tc>
        <w:tc>
          <w:tcPr>
            <w:tcW w:w="82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7"/>
        </w:trPr>
        <w:tc>
          <w:tcPr>
            <w:tcW w:w="60" w:type="dxa"/>
            <w:vAlign w:val="bottom"/>
          </w:tcPr>
          <w:p>
            <w:pPr>
              <w:spacing w:after="0"/>
              <w:rPr>
                <w:sz w:val="24"/>
                <w:szCs w:val="24"/>
                <w:color w:val="auto"/>
              </w:rPr>
            </w:pPr>
          </w:p>
        </w:tc>
        <w:tc>
          <w:tcPr>
            <w:tcW w:w="8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Noncash rent expense</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546</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769</w:t>
            </w:r>
          </w:p>
        </w:tc>
      </w:tr>
      <w:tr>
        <w:trPr>
          <w:trHeight w:val="263"/>
        </w:trPr>
        <w:tc>
          <w:tcPr>
            <w:tcW w:w="60" w:type="dxa"/>
            <w:vAlign w:val="bottom"/>
          </w:tcPr>
          <w:p>
            <w:pPr>
              <w:spacing w:after="0"/>
              <w:rPr>
                <w:sz w:val="22"/>
                <w:szCs w:val="22"/>
                <w:color w:val="auto"/>
              </w:rPr>
            </w:pPr>
          </w:p>
        </w:tc>
        <w:tc>
          <w:tcPr>
            <w:tcW w:w="8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(Gain) Loss on sale of equipment</w:t>
            </w:r>
          </w:p>
        </w:tc>
        <w:tc>
          <w:tcPr>
            <w:tcW w:w="3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34"/>
        </w:trPr>
        <w:tc>
          <w:tcPr>
            <w:tcW w:w="60" w:type="dxa"/>
            <w:vAlign w:val="bottom"/>
          </w:tcPr>
          <w:p>
            <w:pPr>
              <w:spacing w:after="0"/>
              <w:rPr>
                <w:sz w:val="3"/>
                <w:szCs w:val="3"/>
                <w:color w:val="auto"/>
              </w:rPr>
            </w:pPr>
          </w:p>
        </w:tc>
        <w:tc>
          <w:tcPr>
            <w:tcW w:w="82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7"/>
        </w:trPr>
        <w:tc>
          <w:tcPr>
            <w:tcW w:w="60" w:type="dxa"/>
            <w:vAlign w:val="bottom"/>
          </w:tcPr>
          <w:p>
            <w:pPr>
              <w:spacing w:after="0"/>
              <w:rPr>
                <w:sz w:val="24"/>
                <w:szCs w:val="24"/>
                <w:color w:val="auto"/>
              </w:rPr>
            </w:pP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Changes in current assets and liabilities:</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63"/>
        </w:trPr>
        <w:tc>
          <w:tcPr>
            <w:tcW w:w="60" w:type="dxa"/>
            <w:vAlign w:val="bottom"/>
          </w:tcPr>
          <w:p>
            <w:pPr>
              <w:spacing w:after="0"/>
              <w:rPr>
                <w:sz w:val="22"/>
                <w:szCs w:val="22"/>
                <w:color w:val="auto"/>
              </w:rPr>
            </w:pPr>
          </w:p>
        </w:tc>
        <w:tc>
          <w:tcPr>
            <w:tcW w:w="82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w:t>
            </w:r>
          </w:p>
        </w:tc>
      </w:tr>
      <w:tr>
        <w:trPr>
          <w:trHeight w:val="34"/>
        </w:trPr>
        <w:tc>
          <w:tcPr>
            <w:tcW w:w="60" w:type="dxa"/>
            <w:vAlign w:val="bottom"/>
          </w:tcPr>
          <w:p>
            <w:pPr>
              <w:spacing w:after="0"/>
              <w:rPr>
                <w:sz w:val="3"/>
                <w:szCs w:val="3"/>
                <w:color w:val="auto"/>
              </w:rPr>
            </w:pPr>
          </w:p>
        </w:tc>
        <w:tc>
          <w:tcPr>
            <w:tcW w:w="82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7"/>
        </w:trPr>
        <w:tc>
          <w:tcPr>
            <w:tcW w:w="60" w:type="dxa"/>
            <w:vAlign w:val="bottom"/>
          </w:tcPr>
          <w:p>
            <w:pPr>
              <w:spacing w:after="0"/>
              <w:rPr>
                <w:sz w:val="24"/>
                <w:szCs w:val="24"/>
                <w:color w:val="auto"/>
              </w:rPr>
            </w:pPr>
          </w:p>
        </w:tc>
        <w:tc>
          <w:tcPr>
            <w:tcW w:w="8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Other non-current assets</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63"/>
        </w:trPr>
        <w:tc>
          <w:tcPr>
            <w:tcW w:w="60" w:type="dxa"/>
            <w:vAlign w:val="bottom"/>
          </w:tcPr>
          <w:p>
            <w:pPr>
              <w:spacing w:after="0"/>
              <w:rPr>
                <w:sz w:val="22"/>
                <w:szCs w:val="22"/>
                <w:color w:val="auto"/>
              </w:rPr>
            </w:pPr>
          </w:p>
        </w:tc>
        <w:tc>
          <w:tcPr>
            <w:tcW w:w="82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Accounts payable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(1,379)</w:t>
            </w:r>
          </w:p>
        </w:tc>
      </w:tr>
      <w:tr>
        <w:trPr>
          <w:trHeight w:val="35"/>
        </w:trPr>
        <w:tc>
          <w:tcPr>
            <w:tcW w:w="60" w:type="dxa"/>
            <w:vAlign w:val="bottom"/>
          </w:tcPr>
          <w:p>
            <w:pPr>
              <w:spacing w:after="0"/>
              <w:rPr>
                <w:sz w:val="3"/>
                <w:szCs w:val="3"/>
                <w:color w:val="auto"/>
              </w:rPr>
            </w:pPr>
          </w:p>
        </w:tc>
        <w:tc>
          <w:tcPr>
            <w:tcW w:w="82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7"/>
        </w:trPr>
        <w:tc>
          <w:tcPr>
            <w:tcW w:w="60" w:type="dxa"/>
            <w:vAlign w:val="bottom"/>
          </w:tcPr>
          <w:p>
            <w:pPr>
              <w:spacing w:after="0"/>
              <w:rPr>
                <w:sz w:val="24"/>
                <w:szCs w:val="24"/>
                <w:color w:val="auto"/>
              </w:rPr>
            </w:pPr>
          </w:p>
        </w:tc>
        <w:tc>
          <w:tcPr>
            <w:tcW w:w="8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(3,587)</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(2,347)</w:t>
            </w:r>
          </w:p>
        </w:tc>
      </w:tr>
      <w:tr>
        <w:trPr>
          <w:trHeight w:val="263"/>
        </w:trPr>
        <w:tc>
          <w:tcPr>
            <w:tcW w:w="60" w:type="dxa"/>
            <w:vAlign w:val="bottom"/>
          </w:tcPr>
          <w:p>
            <w:pPr>
              <w:spacing w:after="0"/>
              <w:rPr>
                <w:sz w:val="22"/>
                <w:szCs w:val="22"/>
                <w:color w:val="auto"/>
              </w:rPr>
            </w:pPr>
          </w:p>
        </w:tc>
        <w:tc>
          <w:tcPr>
            <w:tcW w:w="82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Non-current operating lease liabilities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w:t>
            </w:r>
          </w:p>
        </w:tc>
      </w:tr>
      <w:tr>
        <w:trPr>
          <w:trHeight w:val="35"/>
        </w:trPr>
        <w:tc>
          <w:tcPr>
            <w:tcW w:w="60" w:type="dxa"/>
            <w:vAlign w:val="bottom"/>
          </w:tcPr>
          <w:p>
            <w:pPr>
              <w:spacing w:after="0"/>
              <w:rPr>
                <w:sz w:val="3"/>
                <w:szCs w:val="3"/>
                <w:color w:val="auto"/>
              </w:rPr>
            </w:pPr>
          </w:p>
        </w:tc>
        <w:tc>
          <w:tcPr>
            <w:tcW w:w="8200" w:type="dxa"/>
            <w:vAlign w:val="bottom"/>
            <w:tcBorders>
              <w:bottom w:val="single" w:sz="8" w:color="CCEEFF"/>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90"/>
        </w:trPr>
        <w:tc>
          <w:tcPr>
            <w:tcW w:w="60" w:type="dxa"/>
            <w:vAlign w:val="bottom"/>
          </w:tcPr>
          <w:p>
            <w:pPr>
              <w:spacing w:after="0"/>
              <w:rPr>
                <w:sz w:val="24"/>
                <w:szCs w:val="24"/>
                <w:color w:val="auto"/>
              </w:rPr>
            </w:pPr>
          </w:p>
        </w:tc>
        <w:tc>
          <w:tcPr>
            <w:tcW w:w="8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(10,232)</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53,410</w:t>
            </w:r>
          </w:p>
        </w:tc>
      </w:tr>
      <w:tr>
        <w:trPr>
          <w:trHeight w:val="75"/>
        </w:trPr>
        <w:tc>
          <w:tcPr>
            <w:tcW w:w="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684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r>
      <w:tr>
        <w:trPr>
          <w:trHeight w:val="277"/>
        </w:trPr>
        <w:tc>
          <w:tcPr>
            <w:tcW w:w="60" w:type="dxa"/>
            <w:vAlign w:val="bottom"/>
          </w:tcPr>
          <w:p>
            <w:pPr>
              <w:spacing w:after="0"/>
              <w:rPr>
                <w:sz w:val="24"/>
                <w:szCs w:val="24"/>
                <w:color w:val="auto"/>
              </w:rPr>
            </w:pP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63"/>
        </w:trPr>
        <w:tc>
          <w:tcPr>
            <w:tcW w:w="60" w:type="dxa"/>
            <w:vAlign w:val="bottom"/>
          </w:tcPr>
          <w:p>
            <w:pPr>
              <w:spacing w:after="0"/>
              <w:rPr>
                <w:sz w:val="22"/>
                <w:szCs w:val="22"/>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Proceeds from sale of equipment</w:t>
            </w:r>
          </w:p>
        </w:tc>
        <w:tc>
          <w:tcPr>
            <w:tcW w:w="3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34"/>
        </w:trPr>
        <w:tc>
          <w:tcPr>
            <w:tcW w:w="60" w:type="dxa"/>
            <w:vAlign w:val="bottom"/>
          </w:tcPr>
          <w:p>
            <w:pPr>
              <w:spacing w:after="0"/>
              <w:rPr>
                <w:sz w:val="3"/>
                <w:szCs w:val="3"/>
                <w:color w:val="auto"/>
              </w:rPr>
            </w:pPr>
          </w:p>
        </w:tc>
        <w:tc>
          <w:tcPr>
            <w:tcW w:w="82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7"/>
        </w:trPr>
        <w:tc>
          <w:tcPr>
            <w:tcW w:w="60" w:type="dxa"/>
            <w:vAlign w:val="bottom"/>
          </w:tcPr>
          <w:p>
            <w:pPr>
              <w:spacing w:after="0"/>
              <w:rPr>
                <w:sz w:val="24"/>
                <w:szCs w:val="24"/>
                <w:color w:val="auto"/>
              </w:rPr>
            </w:pP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Proceeds from sales and maturities of investments</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19,500</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32,000</w:t>
            </w:r>
          </w:p>
        </w:tc>
      </w:tr>
      <w:tr>
        <w:trPr>
          <w:trHeight w:val="263"/>
        </w:trPr>
        <w:tc>
          <w:tcPr>
            <w:tcW w:w="60" w:type="dxa"/>
            <w:vAlign w:val="bottom"/>
          </w:tcPr>
          <w:p>
            <w:pPr>
              <w:spacing w:after="0"/>
              <w:rPr>
                <w:sz w:val="22"/>
                <w:szCs w:val="22"/>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Purchases of investments</w:t>
            </w:r>
          </w:p>
        </w:tc>
        <w:tc>
          <w:tcPr>
            <w:tcW w:w="3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(23,466)</w:t>
            </w:r>
          </w:p>
        </w:tc>
      </w:tr>
      <w:tr>
        <w:trPr>
          <w:trHeight w:val="35"/>
        </w:trPr>
        <w:tc>
          <w:tcPr>
            <w:tcW w:w="60" w:type="dxa"/>
            <w:vAlign w:val="bottom"/>
          </w:tcPr>
          <w:p>
            <w:pPr>
              <w:spacing w:after="0"/>
              <w:rPr>
                <w:sz w:val="3"/>
                <w:szCs w:val="3"/>
                <w:color w:val="auto"/>
              </w:rPr>
            </w:pPr>
          </w:p>
        </w:tc>
        <w:tc>
          <w:tcPr>
            <w:tcW w:w="8200" w:type="dxa"/>
            <w:vAlign w:val="bottom"/>
            <w:tcBorders>
              <w:bottom w:val="single" w:sz="8" w:color="CCEEFF"/>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90"/>
        </w:trPr>
        <w:tc>
          <w:tcPr>
            <w:tcW w:w="60" w:type="dxa"/>
            <w:vAlign w:val="bottom"/>
          </w:tcPr>
          <w:p>
            <w:pPr>
              <w:spacing w:after="0"/>
              <w:rPr>
                <w:sz w:val="24"/>
                <w:szCs w:val="24"/>
                <w:color w:val="auto"/>
              </w:rPr>
            </w:pPr>
          </w:p>
        </w:tc>
        <w:tc>
          <w:tcPr>
            <w:tcW w:w="8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19,500</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8,547</w:t>
            </w:r>
          </w:p>
        </w:tc>
      </w:tr>
      <w:tr>
        <w:trPr>
          <w:trHeight w:val="75"/>
        </w:trPr>
        <w:tc>
          <w:tcPr>
            <w:tcW w:w="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684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r>
      <w:tr>
        <w:trPr>
          <w:trHeight w:val="277"/>
        </w:trPr>
        <w:tc>
          <w:tcPr>
            <w:tcW w:w="60" w:type="dxa"/>
            <w:vAlign w:val="bottom"/>
          </w:tcPr>
          <w:p>
            <w:pPr>
              <w:spacing w:after="0"/>
              <w:rPr>
                <w:sz w:val="24"/>
                <w:szCs w:val="24"/>
                <w:color w:val="auto"/>
              </w:rPr>
            </w:pP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Proceeds from exercise of common stock options and ESPP, net of restricted stock surrendered for</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8"/>
        </w:trPr>
        <w:tc>
          <w:tcPr>
            <w:tcW w:w="60" w:type="dxa"/>
            <w:vAlign w:val="bottom"/>
          </w:tcPr>
          <w:p>
            <w:pPr>
              <w:spacing w:after="0"/>
              <w:rPr>
                <w:sz w:val="22"/>
                <w:szCs w:val="22"/>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taxes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5"/>
        </w:trPr>
        <w:tc>
          <w:tcPr>
            <w:tcW w:w="60" w:type="dxa"/>
            <w:vAlign w:val="bottom"/>
          </w:tcPr>
          <w:p>
            <w:pPr>
              <w:spacing w:after="0"/>
              <w:rPr>
                <w:sz w:val="3"/>
                <w:szCs w:val="3"/>
                <w:color w:val="auto"/>
              </w:rPr>
            </w:pPr>
          </w:p>
        </w:tc>
        <w:tc>
          <w:tcPr>
            <w:tcW w:w="8200" w:type="dxa"/>
            <w:vAlign w:val="bottom"/>
            <w:tcBorders>
              <w:bottom w:val="single" w:sz="8" w:color="CCEEFF"/>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90"/>
        </w:trPr>
        <w:tc>
          <w:tcPr>
            <w:tcW w:w="60" w:type="dxa"/>
            <w:vAlign w:val="bottom"/>
          </w:tcPr>
          <w:p>
            <w:pPr>
              <w:spacing w:after="0"/>
              <w:rPr>
                <w:sz w:val="24"/>
                <w:szCs w:val="24"/>
                <w:color w:val="auto"/>
              </w:rPr>
            </w:pPr>
          </w:p>
        </w:tc>
        <w:tc>
          <w:tcPr>
            <w:tcW w:w="8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6"/>
        </w:trPr>
        <w:tc>
          <w:tcPr>
            <w:tcW w:w="60" w:type="dxa"/>
            <w:vAlign w:val="bottom"/>
          </w:tcPr>
          <w:p>
            <w:pPr>
              <w:spacing w:after="0"/>
              <w:rPr>
                <w:sz w:val="22"/>
                <w:szCs w:val="22"/>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(decrease) increase in cash and cash equivalents</w:t>
            </w: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9,083</w:t>
            </w: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61,989</w:t>
            </w:r>
          </w:p>
        </w:tc>
      </w:tr>
      <w:tr>
        <w:trPr>
          <w:trHeight w:val="34"/>
        </w:trPr>
        <w:tc>
          <w:tcPr>
            <w:tcW w:w="60" w:type="dxa"/>
            <w:vAlign w:val="bottom"/>
          </w:tcPr>
          <w:p>
            <w:pPr>
              <w:spacing w:after="0"/>
              <w:rPr>
                <w:sz w:val="3"/>
                <w:szCs w:val="3"/>
                <w:color w:val="auto"/>
              </w:rPr>
            </w:pPr>
          </w:p>
        </w:tc>
        <w:tc>
          <w:tcPr>
            <w:tcW w:w="82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7"/>
        </w:trPr>
        <w:tc>
          <w:tcPr>
            <w:tcW w:w="60" w:type="dxa"/>
            <w:vAlign w:val="bottom"/>
          </w:tcPr>
          <w:p>
            <w:pPr>
              <w:spacing w:after="0"/>
              <w:rPr>
                <w:sz w:val="24"/>
                <w:szCs w:val="24"/>
                <w:color w:val="auto"/>
              </w:rPr>
            </w:pP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cash equivalents and restricted cash, beginning of period</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21,819</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37,256</w:t>
            </w:r>
          </w:p>
        </w:tc>
      </w:tr>
      <w:tr>
        <w:trPr>
          <w:trHeight w:val="256"/>
        </w:trPr>
        <w:tc>
          <w:tcPr>
            <w:tcW w:w="60" w:type="dxa"/>
            <w:vAlign w:val="bottom"/>
          </w:tcPr>
          <w:p>
            <w:pPr>
              <w:spacing w:after="0"/>
              <w:rPr>
                <w:sz w:val="22"/>
                <w:szCs w:val="22"/>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 end of period</w:t>
            </w:r>
          </w:p>
        </w:tc>
        <w:tc>
          <w:tcPr>
            <w:tcW w:w="32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30,902</w:t>
            </w:r>
          </w:p>
        </w:tc>
        <w:tc>
          <w:tcPr>
            <w:tcW w:w="80" w:type="dxa"/>
            <w:vAlign w:val="bottom"/>
          </w:tcPr>
          <w:p>
            <w:pPr>
              <w:spacing w:after="0"/>
              <w:rPr>
                <w:sz w:val="22"/>
                <w:szCs w:val="22"/>
                <w:color w:val="auto"/>
              </w:rPr>
            </w:pPr>
          </w:p>
        </w:tc>
        <w:tc>
          <w:tcPr>
            <w:tcW w:w="44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99,245</w:t>
            </w:r>
          </w:p>
        </w:tc>
      </w:tr>
      <w:tr>
        <w:trPr>
          <w:trHeight w:val="34"/>
        </w:trPr>
        <w:tc>
          <w:tcPr>
            <w:tcW w:w="60" w:type="dxa"/>
            <w:vAlign w:val="bottom"/>
          </w:tcPr>
          <w:p>
            <w:pPr>
              <w:spacing w:after="0"/>
              <w:rPr>
                <w:sz w:val="3"/>
                <w:szCs w:val="3"/>
                <w:color w:val="auto"/>
              </w:rPr>
            </w:pPr>
          </w:p>
        </w:tc>
        <w:tc>
          <w:tcPr>
            <w:tcW w:w="8200" w:type="dxa"/>
            <w:vAlign w:val="bottom"/>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0"/>
        </w:trPr>
        <w:tc>
          <w:tcPr>
            <w:tcW w:w="60" w:type="dxa"/>
            <w:vAlign w:val="bottom"/>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6"/>
        </w:trPr>
        <w:tc>
          <w:tcPr>
            <w:tcW w:w="60" w:type="dxa"/>
            <w:vAlign w:val="bottom"/>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8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262"/>
        </w:trPr>
        <w:tc>
          <w:tcPr>
            <w:tcW w:w="60" w:type="dxa"/>
            <w:vAlign w:val="bottom"/>
          </w:tcPr>
          <w:p>
            <w:pPr>
              <w:spacing w:after="0"/>
              <w:rPr>
                <w:sz w:val="22"/>
                <w:szCs w:val="22"/>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Cash and cash equivalents, end of period</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30,071</w:t>
            </w:r>
          </w:p>
        </w:tc>
        <w:tc>
          <w:tcPr>
            <w:tcW w:w="80" w:type="dxa"/>
            <w:vAlign w:val="bottom"/>
          </w:tcPr>
          <w:p>
            <w:pPr>
              <w:spacing w:after="0"/>
              <w:rPr>
                <w:sz w:val="22"/>
                <w:szCs w:val="22"/>
                <w:color w:val="auto"/>
              </w:rPr>
            </w:pPr>
          </w:p>
        </w:tc>
        <w:tc>
          <w:tcPr>
            <w:tcW w:w="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98,424</w:t>
            </w:r>
          </w:p>
        </w:tc>
      </w:tr>
      <w:tr>
        <w:trPr>
          <w:trHeight w:val="35"/>
        </w:trPr>
        <w:tc>
          <w:tcPr>
            <w:tcW w:w="60" w:type="dxa"/>
            <w:vAlign w:val="bottom"/>
          </w:tcPr>
          <w:p>
            <w:pPr>
              <w:spacing w:after="0"/>
              <w:rPr>
                <w:sz w:val="3"/>
                <w:szCs w:val="3"/>
                <w:color w:val="auto"/>
              </w:rPr>
            </w:pPr>
          </w:p>
        </w:tc>
        <w:tc>
          <w:tcPr>
            <w:tcW w:w="82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7"/>
        </w:trPr>
        <w:tc>
          <w:tcPr>
            <w:tcW w:w="60" w:type="dxa"/>
            <w:vAlign w:val="bottom"/>
          </w:tcPr>
          <w:p>
            <w:pPr>
              <w:spacing w:after="0"/>
              <w:rPr>
                <w:sz w:val="24"/>
                <w:szCs w:val="24"/>
                <w:color w:val="auto"/>
              </w:rPr>
            </w:pP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Restricted cash, end of period</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821</w:t>
            </w:r>
          </w:p>
        </w:tc>
      </w:tr>
      <w:tr>
        <w:trPr>
          <w:trHeight w:val="256"/>
        </w:trPr>
        <w:tc>
          <w:tcPr>
            <w:tcW w:w="60" w:type="dxa"/>
            <w:vAlign w:val="bottom"/>
          </w:tcPr>
          <w:p>
            <w:pPr>
              <w:spacing w:after="0"/>
              <w:rPr>
                <w:sz w:val="22"/>
                <w:szCs w:val="22"/>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 end of period</w:t>
            </w:r>
          </w:p>
        </w:tc>
        <w:tc>
          <w:tcPr>
            <w:tcW w:w="32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30,902</w:t>
            </w:r>
          </w:p>
        </w:tc>
        <w:tc>
          <w:tcPr>
            <w:tcW w:w="80" w:type="dxa"/>
            <w:vAlign w:val="bottom"/>
          </w:tcPr>
          <w:p>
            <w:pPr>
              <w:spacing w:after="0"/>
              <w:rPr>
                <w:sz w:val="22"/>
                <w:szCs w:val="22"/>
                <w:color w:val="auto"/>
              </w:rPr>
            </w:pPr>
          </w:p>
        </w:tc>
        <w:tc>
          <w:tcPr>
            <w:tcW w:w="44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99,245</w:t>
            </w:r>
          </w:p>
        </w:tc>
      </w:tr>
      <w:tr>
        <w:trPr>
          <w:trHeight w:val="35"/>
        </w:trPr>
        <w:tc>
          <w:tcPr>
            <w:tcW w:w="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0"/>
        </w:trPr>
        <w:tc>
          <w:tcPr>
            <w:tcW w:w="60" w:type="dxa"/>
            <w:vAlign w:val="bottom"/>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2"/>
        </w:trPr>
        <w:tc>
          <w:tcPr>
            <w:tcW w:w="60" w:type="dxa"/>
            <w:vAlign w:val="bottom"/>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68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bl>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The accompanying notes are an integral part of these unaudited condensed consolidated financial statements.</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2"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Black Diamond Therapeutics, Inc.</w:t>
      </w:r>
    </w:p>
    <w:p>
      <w:pPr>
        <w:spacing w:after="0" w:line="3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Stockholders' Equity (Unaudited)</w:t>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189"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Additional</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Accumulated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16"/>
        </w:trPr>
        <w:tc>
          <w:tcPr>
            <w:tcW w:w="4280" w:type="dxa"/>
            <w:vAlign w:val="bottom"/>
          </w:tcPr>
          <w:p>
            <w:pPr>
              <w:spacing w:after="0"/>
              <w:rPr>
                <w:sz w:val="10"/>
                <w:szCs w:val="10"/>
                <w:color w:val="auto"/>
              </w:rPr>
            </w:pPr>
          </w:p>
        </w:tc>
        <w:tc>
          <w:tcPr>
            <w:tcW w:w="19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6"/>
                <w:szCs w:val="16"/>
                <w:color w:val="auto"/>
              </w:rPr>
              <w:t>Common stock</w:t>
            </w:r>
          </w:p>
        </w:tc>
        <w:tc>
          <w:tcPr>
            <w:tcW w:w="9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280" w:type="dxa"/>
            <w:vAlign w:val="bottom"/>
          </w:tcPr>
          <w:p>
            <w:pPr>
              <w:spacing w:after="0"/>
              <w:rPr>
                <w:sz w:val="7"/>
                <w:szCs w:val="7"/>
                <w:color w:val="auto"/>
              </w:rPr>
            </w:pPr>
          </w:p>
        </w:tc>
        <w:tc>
          <w:tcPr>
            <w:tcW w:w="194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paid-in</w:t>
            </w:r>
          </w:p>
        </w:tc>
        <w:tc>
          <w:tcPr>
            <w:tcW w:w="2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0" w:type="dxa"/>
            <w:vAlign w:val="bottom"/>
          </w:tcPr>
          <w:p>
            <w:pPr>
              <w:spacing w:after="0"/>
              <w:rPr>
                <w:sz w:val="1"/>
                <w:szCs w:val="1"/>
                <w:color w:val="auto"/>
              </w:rPr>
            </w:pPr>
          </w:p>
        </w:tc>
      </w:tr>
      <w:tr>
        <w:trPr>
          <w:trHeight w:val="102"/>
        </w:trPr>
        <w:tc>
          <w:tcPr>
            <w:tcW w:w="4280" w:type="dxa"/>
            <w:vAlign w:val="bottom"/>
          </w:tcPr>
          <w:p>
            <w:pPr>
              <w:spacing w:after="0"/>
              <w:rPr>
                <w:sz w:val="8"/>
                <w:szCs w:val="8"/>
                <w:color w:val="auto"/>
              </w:rPr>
            </w:pPr>
          </w:p>
        </w:tc>
        <w:tc>
          <w:tcPr>
            <w:tcW w:w="194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10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10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Accumulated</w:t>
            </w: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428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80" w:type="dxa"/>
            <w:vAlign w:val="bottom"/>
          </w:tcPr>
          <w:p>
            <w:pPr>
              <w:spacing w:after="0"/>
              <w:rPr>
                <w:sz w:val="22"/>
                <w:szCs w:val="22"/>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 Value</w:t>
            </w:r>
          </w:p>
        </w:tc>
        <w:tc>
          <w:tcPr>
            <w:tcW w:w="160" w:type="dxa"/>
            <w:vAlign w:val="bottom"/>
          </w:tcPr>
          <w:p>
            <w:pPr>
              <w:spacing w:after="0"/>
              <w:rPr>
                <w:sz w:val="22"/>
                <w:szCs w:val="22"/>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capital</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income (loss)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deficit</w:t>
            </w:r>
          </w:p>
        </w:tc>
        <w:tc>
          <w:tcPr>
            <w:tcW w:w="180" w:type="dxa"/>
            <w:vAlign w:val="bottom"/>
          </w:tcPr>
          <w:p>
            <w:pPr>
              <w:spacing w:after="0"/>
              <w:rPr>
                <w:sz w:val="22"/>
                <w:szCs w:val="22"/>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2024</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56,644,655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(487,107)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83,285</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related to ESPP</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56,542</w:t>
            </w: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56,676,716</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572,093</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(430,565)</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141,516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57,138,057</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576,842</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(464,740)</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Surrender of shares for taxes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0" w:type="dxa"/>
            <w:vAlign w:val="bottom"/>
          </w:tcPr>
          <w:p>
            <w:pPr>
              <w:spacing w:after="0"/>
              <w:rPr>
                <w:sz w:val="1"/>
                <w:szCs w:val="1"/>
                <w:color w:val="auto"/>
              </w:rPr>
            </w:pPr>
          </w:p>
        </w:tc>
      </w:tr>
      <w:tr>
        <w:trPr>
          <w:trHeight w:val="26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2026</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57,301,774</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578,104</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(473,776)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0"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Black Diamond Therapeutics,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BUSINESS AND BASIS OF PRESENTATION</w:t>
      </w:r>
    </w:p>
    <w:p>
      <w:pPr>
        <w:spacing w:after="0" w:line="23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Black Diamond Therapeutics, Inc. (the Company) is a clinical-stage oncology company developing MasterKey therapies that target families of oncogenic mutations in patients with cancer. The Company was originally organized as a limited liability company in December 2014 under the name ASET Therapeutics LLC. In September 2016, the Company was converted to a corporation under the laws of the State of Delaware under the name ASET Therapeutics, Inc. The Company changed its name to Black Diamond Therapeutics, Inc. in January 2018. Since its inception, the Company has devoted substantially all of its efforts to raising capital, obtaining financing and incurring research and development costs related to the development and advancement of its product candidates identified by its Mutation-Allostery-Pharmacology (MAP) drug discovery engine.</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Company is subject to risks and uncertainties common to clinical-stage companies in the biotechnology industry. There can be no assurance that the Company’s research and development will be successfully completed, that adequate protection for the Company’s technology will be obtained, that any products developed will obtain necessary government regulatory approval or that any products, if approved, will be commercially viable. The Company operates in an environment of rapid technological innovation and substantial competition from pharmaceutical and biotechnological companies. In addition, the Company is dependent upon the services of its employees, consultants and service providers. Even if the Company’s product development efforts are successful, it is uncertain when, if ever, the Company will realize significant revenue from product sales.</w:t>
      </w:r>
    </w:p>
    <w:p>
      <w:pPr>
        <w:spacing w:after="0" w:line="206"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0"/>
          <w:szCs w:val="20"/>
          <w:color w:val="auto"/>
        </w:rPr>
        <w:t>On March 18, 2025, the Company entered into a global licensing agreement (the Servier Agreement) with Servier Pharmaceuticals LLC (Servier) for BDTX-4933, a small molecule designed by the Company to address unmet medical needs in RAF/RAS-mutant solid tumors, pursuant to which the Company granted to Servier a worldwide license to develop and commercialize BDTX-4933. Under the terms of the Servier Agreement, Servier will lead the development activities and the worldwide commercialization of BDTX-4933 across multiple indications, including non-small cell lung cancer (NSCLC), with potential applications in other solid tumors. Under the Servier Agreement, the Company received an upfront payment of $70.0 million in March 2025 and will be eligible to receive up to $710.0 million in development and commercial sales milestone payments, along with tiered royalties based on global net sales. The Servier Agreement is discussed in greater detail in Note 14, License Revenue.</w:t>
      </w:r>
    </w:p>
    <w:p>
      <w:pPr>
        <w:spacing w:after="0" w:line="17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On November 13, 2025, the Company filed a new shelf registration statement on Form S-3, including a base prospectus and sales agreement prospectus (the New Shelf Registration Statement), with the SEC, which covers the offering, issuance and sale of the Company’s common stock, preferred stock, debt securities, warrants and/or units of any combination thereof up to a maximum price of $500.0 million, including up to $150.0 million of shares of its common stock (the Shares) that may be offered, issued and sold under an Open Market Sale Agreement</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20"/>
          <w:szCs w:val="20"/>
          <w:color w:val="auto"/>
        </w:rPr>
        <w:t xml:space="preserve"> (the Sales Agreement) previously entered into with Jefferies LLC (Jefferies), as sales agent, on November 13, 2022 (the ATM Program). The New Shelf Registration Statement was filed to replace the Company’s prior shelf registration statement on Form S-3, originally filed with the SEC on November 14, 2022 and declared effective on November 22, 2022 (the Prior Shelf Registration Statement), which was set to expire on November 22, 2025, in accordance with applicable SEC regulations. The New Shelf Registration Statement became effective on December 3, 2025, and in accordance with Rule 415(a)(6) under the Securities Act, the offering of securities under the Prior Shelf Registration Statement was deemed terminated as of the date of effectiveness of the New Shelf Registration Statement. Upon delivery of a placement notice and subject to the terms and conditions of the Sales Agreement, Jefferies may sell the Shares by any method permitted by law deemed to be an “at the market offering” as defined in Rule 415(a)(4) promulgated under the Securities Act. The Company may sell the Shares in amounts and at times to be determined by the Company from time to time subject to the terms and conditions of the Sales Agreement, but the Company has no obligation to sell any Shares under the Sales Agreement. The Company or Jefferies may suspend or terminate the offering of Shares upon notice to the other party and subject to other conditions. As of March 31, 2026, the Company sold 4,490,853 shares of its common stock pursuant to the ATM Program, resulting in gross proceeds to the Company of approximately $25.0 million ($24.5 million net of offering costs).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 accompanying condensed consolidated financial statements have been prepared on the basis of continuity of operations, realization of assets, and the satisfaction of liabilities and commitments in the ordinary course of business. Historically, the Company has funded its operations primarily with proceeds from sales of common stock and preferred stock, and through the $70.0 million upfront payment received under the Servier Agreement in March 2025. The Company has had recurring losses and negative cash flows from operations in substantially all periods since inception and had an accumulated deficit of $473.8 million as of March 31, 2026. The Company expects to continue to generate operating losses for the foreseeable future.</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As of May 7, 2026, the issuance date of the condensed consolidated financial statements, the Company expects that its cash, cash equivalents and investments will be sufficient to fund its currently planned operations for at least the next 12 months from the filing date of these condensed consolidated financial statements.</w:t>
      </w:r>
    </w:p>
    <w:p>
      <w:pPr>
        <w:spacing w:after="0" w:line="1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Company will seek additional funding through private or public equity financings, debt financings, collaborations, strategic alliances and marketing, distribution or licensing arrangements. The Company may not be able to obtain financing on acceptable terms, or at all, and the Company may not be able to enter into collaborations or other arrangements. The terms of any financing may adversely affect the holdings or the rights of the Company's stockholders. If the Company is unable to obtain funding, the Company could be forced to delay, reduce or eliminate some or all of its research and development programs, product portfolio expansion or commercialization efforts, or reduce headcount and general and administrative costs,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33" w:lineRule="exact"/>
        <w:rPr>
          <w:sz w:val="20"/>
          <w:szCs w:val="20"/>
          <w:color w:val="auto"/>
        </w:rPr>
      </w:pPr>
    </w:p>
    <w:p>
      <w:pPr>
        <w:ind w:right="780"/>
        <w:spacing w:after="0" w:line="269" w:lineRule="auto"/>
        <w:rPr>
          <w:sz w:val="20"/>
          <w:szCs w:val="20"/>
          <w:color w:val="auto"/>
        </w:rPr>
      </w:pPr>
      <w:r>
        <w:rPr>
          <w:rFonts w:ascii="Times New Roman" w:cs="Times New Roman" w:eastAsia="Times New Roman" w:hAnsi="Times New Roman"/>
          <w:sz w:val="20"/>
          <w:szCs w:val="20"/>
          <w:color w:val="auto"/>
        </w:rPr>
        <w:t>The following is a summary of significant accounting policies followed in the preparation of these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22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The accompanying condensed consolidated financial statements have been prepared in accordance with accounting principles generally accepted in the United States of America (GAAP) and include the accounts of the Company and its wholly owned subsidiary, Black Diamond Therapeutics Security Corporation, after elimination of all significant intercompany accounts and transactions.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Unaudited interim financial information</w:t>
      </w:r>
    </w:p>
    <w:p>
      <w:pPr>
        <w:spacing w:after="0" w:line="23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The condensed consolidated financial statements of the Company included herein have been prepared, without audit, pursuant to the rules and regulations of the SEC. Certain information and footnote disclosures normally included in financial statements prepared in accordance with GAAP have been condensed or omitted from this Quarterly Report, as is permitted by such rules and regulations. Accordingly, these condensed consolidated financial statements should be read in conjunction with the audited consolidated financial statements and notes thereto included in the Company’s Annual Report on Form 10-K for the year ended December 31, 2025. In the opinion of the Company’s management, all adjustments (consisting of normal and recurring adjustments) considered necessary for a fair statement of the results for the interim periods presented have been included.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3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The preparation of the Company’s condensed consolidated financial statements in conformity with GAAP requires management to make estimates and assumptions that affect the reported amounts of assets and liabilities and the reported amounts of expenses during the reporting periods. Significant estimates and assumptions reflected in these condensed consolidated financial statements include, but are not limited to, the accrual of research and development expenses and the valuation of stock-based awards. The Company bases its estimates on historical experience, known trends and other market-specific or other relevant factors that it believes to be reasonable under the circumstances. Estimates are periodically reviewed in light of changes in circumstances, facts and experience. Changes in estimates are recorded in the period in which they become known. Actual results may differ from those estimates or assumptions.</w:t>
      </w:r>
    </w:p>
    <w:p>
      <w:pPr>
        <w:spacing w:after="0" w:line="19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The Company continues to monitor the impact of macroeconomic developments and geopolitical developments, including political unrest, new or increased international tariffs and retaliatory tariffs, economic sanctions, inflationary pressures, interest rate fluctuations, disruptions in capital markets, changes in or disruptions of U.S. governmental agencies whether from a U.S. federal government shutdown or reduced resources, new laws and regulations or amendments to existing laws and regulations in the U.S. and foreign countries, international trade relationships and military conflicts, such as the ongoing conflicts between Russia and Ukraine, U.S. and Iran, and in the Middle East, on all aspects of its business, and has considered the impact of these factors on estimates within its financial statements. The extent to which future developments may impact the Company’s business, results of operations or financial condition are uncertain and cannot be predicted with confidence and there may be changes to estimates in future periods. As of the date of issuance of these condensed consolidated financial statements, the Company has not experienced material business disruptions or incurred impairment losses in the carrying value of its assets as a result of these factors and is not aware of any specific related event or circumstance that would require it to update its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w:t>
      </w:r>
    </w:p>
    <w:p>
      <w:pPr>
        <w:spacing w:after="0" w:line="21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Income – 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 (Subtopic 220-40): Disaggregation of Income Statement Expenses</w:t>
      </w:r>
      <w:r>
        <w:rPr>
          <w:rFonts w:ascii="Times New Roman" w:cs="Times New Roman" w:eastAsia="Times New Roman" w:hAnsi="Times New Roman"/>
          <w:sz w:val="20"/>
          <w:szCs w:val="20"/>
          <w:color w:val="auto"/>
        </w:rPr>
        <w:t>, which is intended to enhance transparency into the nature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function of expenses. The amendments require that on an annual and interim basis, entities disclose disaggregated operating expense information about specific categories, including purchases of inventory, employee compensation, depreciation, amortization and depletion. This guidance is effective for fiscal years beginning after December 15, 2026, and interim periods within fiscal years beginning after December 15, 2027. The Company will evaluate the impact of the guidance on its financial statements in advance of the adoption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FAIR VALUE MEASUREMENTS</w:t>
      </w:r>
    </w:p>
    <w:p>
      <w:pPr>
        <w:spacing w:after="0" w:line="220"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1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Fair value measurements at March 31, 2026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40005</wp:posOffset>
            </wp:positionV>
            <wp:extent cx="375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Level 1</w:t>
            </w:r>
          </w:p>
        </w:tc>
        <w:tc>
          <w:tcPr>
            <w:tcW w:w="26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Level 2</w:t>
            </w:r>
          </w:p>
        </w:tc>
        <w:tc>
          <w:tcPr>
            <w:tcW w:w="26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Level 3</w:t>
            </w:r>
          </w:p>
        </w:tc>
        <w:tc>
          <w:tcPr>
            <w:tcW w:w="320" w:type="dxa"/>
            <w:vAlign w:val="bottom"/>
          </w:tcPr>
          <w:p>
            <w:pPr>
              <w:spacing w:after="0"/>
              <w:rPr>
                <w:sz w:val="22"/>
                <w:szCs w:val="22"/>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Total</w:t>
            </w:r>
          </w:p>
        </w:tc>
      </w:tr>
      <w:tr>
        <w:trPr>
          <w:trHeight w:val="35"/>
        </w:trPr>
        <w:tc>
          <w:tcPr>
            <w:tcW w:w="53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84"/>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Assets:</w:t>
            </w:r>
          </w:p>
        </w:tc>
        <w:tc>
          <w:tcPr>
            <w:tcW w:w="1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r>
      <w:tr>
        <w:trPr>
          <w:trHeight w:val="262"/>
        </w:trPr>
        <w:tc>
          <w:tcPr>
            <w:tcW w:w="5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equivalents:</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35"/>
        </w:trPr>
        <w:tc>
          <w:tcPr>
            <w:tcW w:w="5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7"/>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Money market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28,990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28,990</w:t>
            </w:r>
          </w:p>
        </w:tc>
      </w:tr>
      <w:tr>
        <w:trPr>
          <w:trHeight w:val="263"/>
        </w:trPr>
        <w:tc>
          <w:tcPr>
            <w:tcW w:w="5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Investments:</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35"/>
        </w:trPr>
        <w:tc>
          <w:tcPr>
            <w:tcW w:w="5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7"/>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Commercial paper</w:t>
            </w: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13,008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13,008</w:t>
            </w:r>
          </w:p>
        </w:tc>
      </w:tr>
      <w:tr>
        <w:trPr>
          <w:trHeight w:val="263"/>
        </w:trPr>
        <w:tc>
          <w:tcPr>
            <w:tcW w:w="5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Corporate bonds</w:t>
            </w:r>
          </w:p>
        </w:tc>
        <w:tc>
          <w:tcPr>
            <w:tcW w:w="16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61,179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61,179</w:t>
            </w:r>
          </w:p>
        </w:tc>
      </w:tr>
      <w:tr>
        <w:trPr>
          <w:trHeight w:val="35"/>
        </w:trPr>
        <w:tc>
          <w:tcPr>
            <w:tcW w:w="5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7"/>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U.S. Government agencies</w:t>
            </w: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14,000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14,000</w:t>
            </w:r>
          </w:p>
        </w:tc>
      </w:tr>
      <w:tr>
        <w:trPr>
          <w:trHeight w:val="287"/>
        </w:trPr>
        <w:tc>
          <w:tcPr>
            <w:tcW w:w="5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28,990</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88,187</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117,177</w:t>
            </w:r>
          </w:p>
        </w:tc>
      </w:tr>
      <w:tr>
        <w:trPr>
          <w:trHeight w:val="24"/>
        </w:trPr>
        <w:tc>
          <w:tcPr>
            <w:tcW w:w="5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877"/>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921"/>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23"/>
        </w:trPr>
        <w:tc>
          <w:tcPr>
            <w:tcW w:w="5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0"/>
          <w:szCs w:val="20"/>
          <w:color w:val="auto"/>
        </w:rPr>
        <w:t>Fair value measurements at December 31, 2025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40005</wp:posOffset>
            </wp:positionV>
            <wp:extent cx="37547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Level 1</w:t>
            </w:r>
          </w:p>
        </w:tc>
        <w:tc>
          <w:tcPr>
            <w:tcW w:w="26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Level 2</w:t>
            </w:r>
          </w:p>
        </w:tc>
        <w:tc>
          <w:tcPr>
            <w:tcW w:w="26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Level 3</w:t>
            </w:r>
          </w:p>
        </w:tc>
        <w:tc>
          <w:tcPr>
            <w:tcW w:w="320" w:type="dxa"/>
            <w:vAlign w:val="bottom"/>
          </w:tcPr>
          <w:p>
            <w:pPr>
              <w:spacing w:after="0"/>
              <w:rPr>
                <w:sz w:val="22"/>
                <w:szCs w:val="22"/>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Total</w:t>
            </w:r>
          </w:p>
        </w:tc>
      </w:tr>
      <w:tr>
        <w:trPr>
          <w:trHeight w:val="34"/>
        </w:trPr>
        <w:tc>
          <w:tcPr>
            <w:tcW w:w="53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84"/>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Assets:</w:t>
            </w: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r>
      <w:tr>
        <w:trPr>
          <w:trHeight w:val="263"/>
        </w:trPr>
        <w:tc>
          <w:tcPr>
            <w:tcW w:w="5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equivalents:</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35"/>
        </w:trPr>
        <w:tc>
          <w:tcPr>
            <w:tcW w:w="5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7"/>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Money market funds</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19,906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19,906</w:t>
            </w:r>
          </w:p>
        </w:tc>
      </w:tr>
      <w:tr>
        <w:trPr>
          <w:trHeight w:val="263"/>
        </w:trPr>
        <w:tc>
          <w:tcPr>
            <w:tcW w:w="5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Investments:</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34"/>
        </w:trPr>
        <w:tc>
          <w:tcPr>
            <w:tcW w:w="5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7"/>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Commercial paper</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14,885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14,885</w:t>
            </w:r>
          </w:p>
        </w:tc>
      </w:tr>
      <w:tr>
        <w:trPr>
          <w:trHeight w:val="263"/>
        </w:trPr>
        <w:tc>
          <w:tcPr>
            <w:tcW w:w="5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Corporate bonds</w:t>
            </w:r>
          </w:p>
        </w:tc>
        <w:tc>
          <w:tcPr>
            <w:tcW w:w="26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78,745</w:t>
            </w:r>
          </w:p>
        </w:tc>
      </w:tr>
      <w:tr>
        <w:trPr>
          <w:trHeight w:val="34"/>
        </w:trPr>
        <w:tc>
          <w:tcPr>
            <w:tcW w:w="5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7"/>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U.S. Government agencies</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14,032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14,032</w:t>
            </w:r>
          </w:p>
        </w:tc>
      </w:tr>
      <w:tr>
        <w:trPr>
          <w:trHeight w:val="287"/>
        </w:trPr>
        <w:tc>
          <w:tcPr>
            <w:tcW w:w="5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19,906</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107,662</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127,568</w:t>
            </w:r>
          </w:p>
        </w:tc>
      </w:tr>
      <w:tr>
        <w:trPr>
          <w:trHeight w:val="24"/>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When developing fair value estimates, the Company maximizes the use of observable inputs and minimizes the use of unobservable inputs. When available, the Company uses quoted market prices to measure fair value. The valuation technique used to measure fair value for the Company's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the Company is required to make judgments about assumptions market participants would use to estimate the fair value of a financial instrument.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transfers in or out of Level 3 categories in the periods presented.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INVESTMENTS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March 31, 2026, investments were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40005</wp:posOffset>
            </wp:positionV>
            <wp:extent cx="3497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Unrealized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Amortized Cost</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 Gains</w:t>
            </w: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Losses</w:t>
            </w:r>
          </w:p>
        </w:tc>
        <w:tc>
          <w:tcPr>
            <w:tcW w:w="200" w:type="dxa"/>
            <w:vAlign w:val="bottom"/>
          </w:tcPr>
          <w:p>
            <w:pPr>
              <w:spacing w:after="0"/>
              <w:rPr>
                <w:sz w:val="20"/>
                <w:szCs w:val="20"/>
                <w:color w:val="auto"/>
              </w:rPr>
            </w:pPr>
          </w:p>
        </w:tc>
        <w:tc>
          <w:tcPr>
            <w:tcW w:w="1100" w:type="dxa"/>
            <w:vAlign w:val="bottom"/>
          </w:tcPr>
          <w:p>
            <w:pPr>
              <w:jc w:val="right"/>
              <w:ind w:right="183"/>
              <w:spacing w:after="0"/>
              <w:rPr>
                <w:sz w:val="20"/>
                <w:szCs w:val="20"/>
                <w:color w:val="auto"/>
              </w:rPr>
            </w:pPr>
            <w:r>
              <w:rPr>
                <w:rFonts w:ascii="Times New Roman" w:cs="Times New Roman" w:eastAsia="Times New Roman" w:hAnsi="Times New Roman"/>
                <w:sz w:val="18"/>
                <w:szCs w:val="18"/>
                <w:color w:val="auto"/>
              </w:rPr>
              <w:t>Fair Value</w:t>
            </w:r>
          </w:p>
        </w:tc>
      </w:tr>
      <w:tr>
        <w:trPr>
          <w:trHeight w:val="27"/>
        </w:trPr>
        <w:tc>
          <w:tcPr>
            <w:tcW w:w="5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Commercial paper</w:t>
            </w:r>
          </w:p>
        </w:tc>
        <w:tc>
          <w:tcPr>
            <w:tcW w:w="400" w:type="dxa"/>
            <w:vAlign w:val="bottom"/>
            <w:tcBorders>
              <w:bottom w:val="single" w:sz="8" w:color="CCEEFF"/>
            </w:tcBorders>
            <w:shd w:val="clear" w:color="auto" w:fill="CCEEFF"/>
          </w:tcPr>
          <w:p>
            <w:pPr>
              <w:jc w:val="right"/>
              <w:ind w:right="204"/>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13,019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13,008</w:t>
            </w:r>
          </w:p>
        </w:tc>
      </w:tr>
      <w:tr>
        <w:trPr>
          <w:trHeight w:val="263"/>
        </w:trPr>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Corporate bonds</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61,182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61,179</w:t>
            </w:r>
          </w:p>
        </w:tc>
      </w:tr>
      <w:tr>
        <w:trPr>
          <w:trHeight w:val="35"/>
        </w:trPr>
        <w:tc>
          <w:tcPr>
            <w:tcW w:w="5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7"/>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U.S. Government agencies</w:t>
            </w:r>
          </w:p>
        </w:tc>
        <w:tc>
          <w:tcPr>
            <w:tcW w:w="4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14,022</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14,000</w:t>
            </w:r>
          </w:p>
        </w:tc>
      </w:tr>
      <w:tr>
        <w:trPr>
          <w:trHeight w:val="287"/>
        </w:trPr>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w:t>
            </w:r>
          </w:p>
        </w:tc>
        <w:tc>
          <w:tcPr>
            <w:tcW w:w="40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88,223</w:t>
            </w:r>
          </w:p>
        </w:tc>
        <w:tc>
          <w:tcPr>
            <w:tcW w:w="100" w:type="dxa"/>
            <w:vAlign w:val="bottom"/>
          </w:tcPr>
          <w:p>
            <w:pPr>
              <w:spacing w:after="0"/>
              <w:rPr>
                <w:sz w:val="24"/>
                <w:szCs w:val="24"/>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88,187</w:t>
            </w:r>
          </w:p>
        </w:tc>
      </w:tr>
      <w:tr>
        <w:trPr>
          <w:trHeight w:val="24"/>
        </w:trPr>
        <w:tc>
          <w:tcPr>
            <w:tcW w:w="5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investments were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40005</wp:posOffset>
            </wp:positionV>
            <wp:extent cx="3497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Amortized Cost</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Unrealized Gains</w:t>
            </w:r>
          </w:p>
        </w:tc>
        <w:tc>
          <w:tcPr>
            <w:tcW w:w="2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Losses</w:t>
            </w:r>
          </w:p>
        </w:tc>
        <w:tc>
          <w:tcPr>
            <w:tcW w:w="200" w:type="dxa"/>
            <w:vAlign w:val="bottom"/>
          </w:tcPr>
          <w:p>
            <w:pPr>
              <w:spacing w:after="0"/>
              <w:rPr>
                <w:sz w:val="20"/>
                <w:szCs w:val="20"/>
                <w:color w:val="auto"/>
              </w:rPr>
            </w:pPr>
          </w:p>
        </w:tc>
        <w:tc>
          <w:tcPr>
            <w:tcW w:w="1100" w:type="dxa"/>
            <w:vAlign w:val="bottom"/>
          </w:tcPr>
          <w:p>
            <w:pPr>
              <w:jc w:val="right"/>
              <w:ind w:right="183"/>
              <w:spacing w:after="0"/>
              <w:rPr>
                <w:sz w:val="20"/>
                <w:szCs w:val="20"/>
                <w:color w:val="auto"/>
              </w:rPr>
            </w:pPr>
            <w:r>
              <w:rPr>
                <w:rFonts w:ascii="Times New Roman" w:cs="Times New Roman" w:eastAsia="Times New Roman" w:hAnsi="Times New Roman"/>
                <w:sz w:val="18"/>
                <w:szCs w:val="18"/>
                <w:color w:val="auto"/>
              </w:rPr>
              <w:t>Fair Value</w:t>
            </w: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Commercial paper</w:t>
            </w:r>
          </w:p>
        </w:tc>
        <w:tc>
          <w:tcPr>
            <w:tcW w:w="34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14,878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14,885</w:t>
            </w:r>
          </w:p>
        </w:tc>
      </w:tr>
      <w:tr>
        <w:trPr>
          <w:trHeight w:val="263"/>
        </w:trPr>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Corporate bonds</w:t>
            </w:r>
          </w:p>
        </w:tc>
        <w:tc>
          <w:tcPr>
            <w:tcW w:w="3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78,652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78,745</w:t>
            </w:r>
          </w:p>
        </w:tc>
      </w:tr>
      <w:tr>
        <w:trPr>
          <w:trHeight w:val="34"/>
        </w:trPr>
        <w:tc>
          <w:tcPr>
            <w:tcW w:w="5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7"/>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U.S. Government agencies</w:t>
            </w:r>
          </w:p>
        </w:tc>
        <w:tc>
          <w:tcPr>
            <w:tcW w:w="3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14,031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14,032</w:t>
            </w:r>
          </w:p>
        </w:tc>
      </w:tr>
      <w:tr>
        <w:trPr>
          <w:trHeight w:val="287"/>
        </w:trPr>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107,561</w:t>
            </w:r>
          </w:p>
        </w:tc>
        <w:tc>
          <w:tcPr>
            <w:tcW w:w="100" w:type="dxa"/>
            <w:vAlign w:val="bottom"/>
          </w:tcPr>
          <w:p>
            <w:pPr>
              <w:spacing w:after="0"/>
              <w:rPr>
                <w:sz w:val="24"/>
                <w:szCs w:val="24"/>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107,662</w:t>
            </w:r>
          </w:p>
        </w:tc>
      </w:tr>
      <w:tr>
        <w:trPr>
          <w:trHeight w:val="24"/>
        </w:trPr>
        <w:tc>
          <w:tcPr>
            <w:tcW w:w="5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March 31, 2026, all marketable securities held by the Company had remaining contractual maturities of three years or less.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all marketable securities held by the Company had remaining contractual maturities of three year or less.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As of March 31, 2026, the Company reviewed its investment portfolio to assess the unrealized losses on its available-for-sale investments. The Company evaluated whether it intended to sell the security and whether it was more likely than not that the Company would be required to sell the security before recovering its amortized cost basis. The Company also determined no portion of the unrealized losses relate to a credit loss. There have been no impairments of the Company’s assets measured and carried at fair value during the three months ended March 31, 2026 and the year ended December 31,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5. PROPERTY AND EQUIPMENT</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459"/>
        </w:trPr>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 consisted of the following:</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8"/>
        </w:trPr>
        <w:tc>
          <w:tcPr>
            <w:tcW w:w="8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March 31,</w:t>
            </w:r>
          </w:p>
        </w:tc>
        <w:tc>
          <w:tcPr>
            <w:tcW w:w="160" w:type="dxa"/>
            <w:vAlign w:val="bottom"/>
          </w:tcPr>
          <w:p>
            <w:pPr>
              <w:spacing w:after="0"/>
              <w:rPr>
                <w:sz w:val="23"/>
                <w:szCs w:val="23"/>
                <w:color w:val="auto"/>
              </w:rPr>
            </w:pPr>
          </w:p>
        </w:tc>
        <w:tc>
          <w:tcPr>
            <w:tcW w:w="1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December 31,</w:t>
            </w:r>
          </w:p>
        </w:tc>
      </w:tr>
      <w:tr>
        <w:trPr>
          <w:trHeight w:val="258"/>
        </w:trPr>
        <w:tc>
          <w:tcPr>
            <w:tcW w:w="8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2025</w:t>
            </w:r>
          </w:p>
        </w:tc>
      </w:tr>
      <w:tr>
        <w:trPr>
          <w:trHeight w:val="21"/>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9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Leasehold improvements</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1,593</w:t>
            </w:r>
          </w:p>
        </w:tc>
      </w:tr>
      <w:tr>
        <w:trPr>
          <w:trHeight w:val="256"/>
        </w:trPr>
        <w:tc>
          <w:tcPr>
            <w:tcW w:w="8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Property and equipment</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1,593</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1,593</w:t>
            </w:r>
          </w:p>
        </w:tc>
      </w:tr>
      <w:tr>
        <w:trPr>
          <w:trHeight w:val="35"/>
        </w:trPr>
        <w:tc>
          <w:tcPr>
            <w:tcW w:w="8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(1,228)</w:t>
            </w:r>
          </w:p>
        </w:tc>
      </w:tr>
      <w:tr>
        <w:trPr>
          <w:trHeight w:val="287"/>
        </w:trPr>
        <w:tc>
          <w:tcPr>
            <w:tcW w:w="8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Property and Equipment, net</w:t>
            </w: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365</w:t>
            </w:r>
          </w:p>
        </w:tc>
      </w:tr>
      <w:tr>
        <w:trPr>
          <w:trHeight w:val="24"/>
        </w:trPr>
        <w:tc>
          <w:tcPr>
            <w:tcW w:w="8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for the three months ended March 31, 2026 and 2025 was $27 and $87,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EQUITY METHOD INVESTMENT</w:t>
      </w:r>
    </w:p>
    <w:p>
      <w:pPr>
        <w:spacing w:after="0" w:line="23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In December 2022, the Company received 9,000,000 shares of common stock in a newly formed antibody-focused precision oncology company, Revelio Therapeutics, Inc. (Revelio), in exchange for contributing early discovery-stage antibody programs and granting Revelio a license to use its MAP drug discovery engine to discover, develop and commercialize large molecule therapeutics. As of December 31, 2025 and March 31, 2026, the Company had a voting interest in Revelio of 15.1%, and one seat on Revelio’s Board of Directors, which provide the Company with significant influence over Revelio. Other investors in Revelio include Versant Ventures and New Enterprise Associates (NEA), who are shareholders of the Company.</w:t>
      </w:r>
    </w:p>
    <w:p>
      <w:pPr>
        <w:spacing w:after="0" w:line="192" w:lineRule="exact"/>
        <w:rPr>
          <w:sz w:val="20"/>
          <w:szCs w:val="20"/>
          <w:color w:val="auto"/>
        </w:rPr>
      </w:pPr>
    </w:p>
    <w:p>
      <w:pPr>
        <w:jc w:val="both"/>
        <w:ind w:right="460"/>
        <w:spacing w:after="0" w:line="254" w:lineRule="auto"/>
        <w:rPr>
          <w:sz w:val="20"/>
          <w:szCs w:val="20"/>
          <w:color w:val="auto"/>
        </w:rPr>
      </w:pPr>
      <w:r>
        <w:rPr>
          <w:rFonts w:ascii="Times New Roman" w:cs="Times New Roman" w:eastAsia="Times New Roman" w:hAnsi="Times New Roman"/>
          <w:sz w:val="20"/>
          <w:szCs w:val="20"/>
          <w:color w:val="auto"/>
        </w:rPr>
        <w:t>The Company accounted for the transaction under the equity method. As of March 31, 2026 and the year ended December 31, 2025, the carrying value of the investment in Revelio was zero. Since the Company has no obligation to provide financing support to Revelio, the Company is not required to record further losses exceeding the carrying value of the investment. The Company also determined that its investment in Revelio is not material or significant to its operations or financial position.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7. ACCRUED EXPENSES AND OTHER CURRENT LIABILITIES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459"/>
        </w:trPr>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 and other current liabilities consisted of the following:</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8"/>
        </w:trPr>
        <w:tc>
          <w:tcPr>
            <w:tcW w:w="8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March 31,</w:t>
            </w:r>
          </w:p>
        </w:tc>
        <w:tc>
          <w:tcPr>
            <w:tcW w:w="160" w:type="dxa"/>
            <w:vAlign w:val="bottom"/>
          </w:tcPr>
          <w:p>
            <w:pPr>
              <w:spacing w:after="0"/>
              <w:rPr>
                <w:sz w:val="23"/>
                <w:szCs w:val="23"/>
                <w:color w:val="auto"/>
              </w:rPr>
            </w:pPr>
          </w:p>
        </w:tc>
        <w:tc>
          <w:tcPr>
            <w:tcW w:w="1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December 31,</w:t>
            </w:r>
          </w:p>
        </w:tc>
      </w:tr>
      <w:tr>
        <w:trPr>
          <w:trHeight w:val="258"/>
        </w:trPr>
        <w:tc>
          <w:tcPr>
            <w:tcW w:w="8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2025</w:t>
            </w:r>
          </w:p>
        </w:tc>
      </w:tr>
      <w:tr>
        <w:trPr>
          <w:trHeight w:val="21"/>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Contracted research services</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7,951</w:t>
            </w:r>
          </w:p>
        </w:tc>
      </w:tr>
      <w:tr>
        <w:trPr>
          <w:trHeight w:val="263"/>
        </w:trPr>
        <w:tc>
          <w:tcPr>
            <w:tcW w:w="8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Payroll and related expenses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2,923</w:t>
            </w:r>
          </w:p>
        </w:tc>
      </w:tr>
      <w:tr>
        <w:trPr>
          <w:trHeight w:val="35"/>
        </w:trPr>
        <w:tc>
          <w:tcPr>
            <w:tcW w:w="8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Professional and consulting fees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565</w:t>
            </w:r>
          </w:p>
        </w:tc>
      </w:tr>
      <w:tr>
        <w:trPr>
          <w:trHeight w:val="263"/>
        </w:trPr>
        <w:tc>
          <w:tcPr>
            <w:tcW w:w="8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Current portion of operating lease liability and other</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3,713</w:t>
            </w:r>
          </w:p>
        </w:tc>
      </w:tr>
      <w:tr>
        <w:trPr>
          <w:trHeight w:val="34"/>
        </w:trPr>
        <w:tc>
          <w:tcPr>
            <w:tcW w:w="8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31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accrued expenses and other current liabilities</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11,565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15,152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2020 Stock Option and Incentive Plan</w:t>
      </w:r>
    </w:p>
    <w:p>
      <w:pPr>
        <w:spacing w:after="0" w:line="22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The 2020 Stock Option and Incentive Plan (the 2020 Plan) was approved by the Company’s board of directors on December 5, 2019, and the Company’s stockholders on January 14, 2020 and became effective on the date immediately prior to the date on which the registration statement for the Company’s initial public offering (IPO) was declared effective.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2020 Plan provides for an annual increase, to be added on the first day of each fiscal year, by up to 4% of the Company’s outstanding shares of common stock as of the last day of the prior year. On January 1, 2026, 2,285,522 shares of common stock, representing 4% of the Company’s outstanding shares of common stock as of December 31, 2025, were added to the 2020 Plan.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2020 Employee Stock Purchase Plan</w:t>
      </w:r>
    </w:p>
    <w:p>
      <w:pPr>
        <w:spacing w:after="0" w:line="23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The 2020 Employee Stock Purchase Plan (the 2020 ESPP) was approved by the Company’s board of directors on December 5, 2019, and the Company’s stockholders on January 14, 2020, and became effective on the date immediately prior to the date on which the registration statement for the Company’s IPO was declared effective. The 2020 ESPP provides for an annual increase, to be added on the first day of each fiscal year, by up to 1% of the number of shares of the Company’s common stock outstanding on the immediately preceding December 31. The number of authorized shares reserved for issuance under the 2020 ESPP was increased by 326,364 shares effective as of January 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220" w:lineRule="exact"/>
        <w:rPr>
          <w:sz w:val="20"/>
          <w:szCs w:val="20"/>
          <w:color w:val="auto"/>
        </w:rPr>
      </w:pPr>
    </w:p>
    <w:p>
      <w:pPr>
        <w:ind w:right="1000"/>
        <w:spacing w:after="0" w:line="272" w:lineRule="auto"/>
        <w:rPr>
          <w:sz w:val="20"/>
          <w:szCs w:val="20"/>
          <w:color w:val="auto"/>
        </w:rPr>
      </w:pPr>
      <w:r>
        <w:rPr>
          <w:rFonts w:ascii="Times New Roman" w:cs="Times New Roman" w:eastAsia="Times New Roman" w:hAnsi="Times New Roman"/>
          <w:sz w:val="20"/>
          <w:szCs w:val="20"/>
          <w:color w:val="auto"/>
        </w:rPr>
        <w:t>The Company recorded stock-based compensation expense in the following award type categories included within the condensed consolidated statements of operations and comprehensive loss:</w:t>
      </w:r>
    </w:p>
    <w:p>
      <w:pPr>
        <w:spacing w:after="0" w:line="1"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22"/>
          <w:szCs w:val="22"/>
          <w:color w:val="auto"/>
        </w:rPr>
        <w:t>Three Months Ended</w:t>
      </w:r>
    </w:p>
    <w:p>
      <w:pPr>
        <w:spacing w:after="0" w:line="14"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22"/>
          <w:szCs w:val="22"/>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12700</wp:posOffset>
            </wp:positionV>
            <wp:extent cx="18599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2025</w:t>
            </w:r>
          </w:p>
        </w:tc>
      </w:tr>
      <w:tr>
        <w:trPr>
          <w:trHeight w:val="34"/>
        </w:trPr>
        <w:tc>
          <w:tcPr>
            <w:tcW w:w="8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Stock options</w:t>
            </w: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1,141</w:t>
            </w:r>
          </w:p>
        </w:tc>
      </w:tr>
      <w:tr>
        <w:trPr>
          <w:trHeight w:val="263"/>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Restricted stock units</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w:t>
            </w:r>
          </w:p>
        </w:tc>
      </w:tr>
      <w:tr>
        <w:trPr>
          <w:trHeight w:val="35"/>
        </w:trPr>
        <w:tc>
          <w:tcPr>
            <w:tcW w:w="8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7"/>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Employee Stock Purchase Plan and Other</w:t>
            </w:r>
          </w:p>
        </w:tc>
        <w:tc>
          <w:tcPr>
            <w:tcW w:w="3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56"/>
        </w:trPr>
        <w:tc>
          <w:tcPr>
            <w:tcW w:w="8320" w:type="dxa"/>
            <w:vAlign w:val="bottom"/>
          </w:tcPr>
          <w:p>
            <w:pPr>
              <w:spacing w:after="0"/>
              <w:rPr>
                <w:sz w:val="22"/>
                <w:szCs w:val="22"/>
                <w:color w:val="auto"/>
              </w:rPr>
            </w:pPr>
          </w:p>
        </w:tc>
        <w:tc>
          <w:tcPr>
            <w:tcW w:w="30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1,447</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1,700</w:t>
            </w:r>
          </w:p>
        </w:tc>
      </w:tr>
      <w:tr>
        <w:trPr>
          <w:trHeight w:val="35"/>
        </w:trPr>
        <w:tc>
          <w:tcPr>
            <w:tcW w:w="83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For the three months ended March 31, 2026, the Company issued 13,024 shares of common stock under its 2020 Plan in accordance with its policy where non-employee directors may elect to receive their compensation in the form of common stock in lieu of cash.</w:t>
      </w:r>
    </w:p>
    <w:p>
      <w:pPr>
        <w:spacing w:after="0" w:line="146"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20"/>
          <w:szCs w:val="20"/>
          <w:color w:val="auto"/>
        </w:rPr>
        <w:t>The Company recorded stock-based compensation expense in the following expense categories of its condensed consolidated statements of operations and comprehensive loss:</w:t>
      </w:r>
    </w:p>
    <w:p>
      <w:pPr>
        <w:spacing w:after="0" w:line="1"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22"/>
          <w:szCs w:val="22"/>
          <w:color w:val="auto"/>
        </w:rPr>
        <w:t>Three Months Ended</w:t>
      </w:r>
    </w:p>
    <w:p>
      <w:pPr>
        <w:spacing w:after="0" w:line="14"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22"/>
          <w:szCs w:val="22"/>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12700</wp:posOffset>
            </wp:positionV>
            <wp:extent cx="18599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2025</w:t>
            </w:r>
          </w:p>
        </w:tc>
      </w:tr>
      <w:tr>
        <w:trPr>
          <w:trHeight w:val="35"/>
        </w:trPr>
        <w:tc>
          <w:tcPr>
            <w:tcW w:w="8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71"/>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781</w:t>
            </w:r>
          </w:p>
        </w:tc>
      </w:tr>
      <w:tr>
        <w:trPr>
          <w:trHeight w:val="276"/>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w:t>
            </w:r>
          </w:p>
        </w:tc>
      </w:tr>
      <w:tr>
        <w:trPr>
          <w:trHeight w:val="34"/>
        </w:trPr>
        <w:tc>
          <w:tcPr>
            <w:tcW w:w="8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315"/>
        </w:trPr>
        <w:tc>
          <w:tcPr>
            <w:tcW w:w="83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1,447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1,700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Options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82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The following table summarizes the stock option activity under the Company’s equity awards plans: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5"/>
              </w:rPr>
              <w:t>Weighted</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5"/>
              </w:rPr>
              <w:t>Weighted</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7"/>
              </w:rPr>
              <w:t>Average</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5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7"/>
              </w:rPr>
              <w:t>Average</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7"/>
              </w:rPr>
              <w:t>Remaining</w:t>
            </w:r>
          </w:p>
        </w:tc>
        <w:tc>
          <w:tcPr>
            <w:tcW w:w="140" w:type="dxa"/>
            <w:vAlign w:val="bottom"/>
          </w:tcPr>
          <w:p>
            <w:pPr>
              <w:spacing w:after="0"/>
              <w:rPr>
                <w:sz w:val="24"/>
                <w:szCs w:val="24"/>
                <w:color w:val="auto"/>
              </w:rPr>
            </w:pPr>
          </w:p>
        </w:tc>
        <w:tc>
          <w:tcPr>
            <w:tcW w:w="128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8"/>
              </w:rPr>
              <w:t>Intrinsic</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color w:val="auto"/>
                <w:w w:val="98"/>
              </w:rPr>
              <w:t>Exercise</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rPr>
              <w:t>Life</w:t>
            </w:r>
          </w:p>
        </w:tc>
        <w:tc>
          <w:tcPr>
            <w:tcW w:w="140" w:type="dxa"/>
            <w:vAlign w:val="bottom"/>
          </w:tcPr>
          <w:p>
            <w:pPr>
              <w:spacing w:after="0"/>
              <w:rPr>
                <w:sz w:val="23"/>
                <w:szCs w:val="23"/>
                <w:color w:val="auto"/>
              </w:rPr>
            </w:pPr>
          </w:p>
        </w:tc>
        <w:tc>
          <w:tcPr>
            <w:tcW w:w="128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2"/>
              </w:rPr>
              <w:t>Value</w:t>
            </w:r>
          </w:p>
        </w:tc>
        <w:tc>
          <w:tcPr>
            <w:tcW w:w="0" w:type="dxa"/>
            <w:vAlign w:val="bottom"/>
          </w:tcPr>
          <w:p>
            <w:pPr>
              <w:spacing w:after="0"/>
              <w:rPr>
                <w:sz w:val="1"/>
                <w:szCs w:val="1"/>
                <w:color w:val="auto"/>
              </w:rPr>
            </w:pPr>
          </w:p>
        </w:tc>
      </w:tr>
      <w:tr>
        <w:trPr>
          <w:trHeight w:val="299"/>
        </w:trPr>
        <w:tc>
          <w:tcPr>
            <w:tcW w:w="5260" w:type="dxa"/>
            <w:vAlign w:val="bottom"/>
          </w:tcPr>
          <w:p>
            <w:pPr>
              <w:spacing w:after="0"/>
              <w:rPr>
                <w:sz w:val="24"/>
                <w:szCs w:val="24"/>
                <w:color w:val="auto"/>
              </w:rPr>
            </w:pPr>
          </w:p>
        </w:tc>
        <w:tc>
          <w:tcPr>
            <w:tcW w:w="14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Options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rPr>
              <w:t>Price</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6"/>
              </w:rPr>
              <w:t>(in Years)</w:t>
            </w:r>
          </w:p>
        </w:tc>
        <w:tc>
          <w:tcPr>
            <w:tcW w:w="140" w:type="dxa"/>
            <w:vAlign w:val="bottom"/>
          </w:tcPr>
          <w:p>
            <w:pPr>
              <w:spacing w:after="0"/>
              <w:rPr>
                <w:sz w:val="24"/>
                <w:szCs w:val="24"/>
                <w:color w:val="auto"/>
              </w:rPr>
            </w:pPr>
          </w:p>
        </w:tc>
        <w:tc>
          <w:tcPr>
            <w:tcW w:w="128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(in thousands)</w:t>
            </w:r>
          </w:p>
        </w:tc>
        <w:tc>
          <w:tcPr>
            <w:tcW w:w="0" w:type="dxa"/>
            <w:vAlign w:val="bottom"/>
          </w:tcPr>
          <w:p>
            <w:pPr>
              <w:spacing w:after="0"/>
              <w:rPr>
                <w:sz w:val="1"/>
                <w:szCs w:val="1"/>
                <w:color w:val="auto"/>
              </w:rPr>
            </w:pPr>
          </w:p>
        </w:tc>
      </w:tr>
      <w:tr>
        <w:trPr>
          <w:trHeight w:val="34"/>
        </w:trPr>
        <w:tc>
          <w:tcPr>
            <w:tcW w:w="526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Outstanding December 31, 2025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9,649,805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5.83</w:t>
            </w:r>
          </w:p>
        </w:tc>
        <w:tc>
          <w:tcPr>
            <w:tcW w:w="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0" w:type="dxa"/>
            <w:vAlign w:val="bottom"/>
          </w:tcPr>
          <w:p>
            <w:pPr>
              <w:spacing w:after="0"/>
              <w:rPr>
                <w:sz w:val="1"/>
                <w:szCs w:val="1"/>
                <w:color w:val="auto"/>
              </w:rPr>
            </w:pPr>
          </w:p>
        </w:tc>
      </w:tr>
      <w:tr>
        <w:trPr>
          <w:trHeight w:val="263"/>
        </w:trPr>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2,156,700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5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5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Cancelled or forfeited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(85,852)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3.03</w:t>
            </w:r>
          </w:p>
        </w:tc>
        <w:tc>
          <w:tcPr>
            <w:tcW w:w="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Outstanding March 31, 2026</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11,720,653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w:t>
            </w:r>
          </w:p>
        </w:tc>
        <w:tc>
          <w:tcPr>
            <w:tcW w:w="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Options vested or expected to vest at March 31, 2026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11,720,653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5.25</w:t>
            </w:r>
          </w:p>
        </w:tc>
        <w:tc>
          <w:tcPr>
            <w:tcW w:w="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20"/>
                <w:szCs w:val="20"/>
                <w:color w:val="auto"/>
              </w:rPr>
              <w:t>Options exercisable at March 31, 2026</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6.98</w:t>
            </w: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0" w:type="dxa"/>
            <w:vAlign w:val="bottom"/>
          </w:tcPr>
          <w:p>
            <w:pPr>
              <w:spacing w:after="0" w:line="20" w:lineRule="exact"/>
              <w:rPr>
                <w:sz w:val="1"/>
                <w:szCs w:val="1"/>
                <w:color w:val="auto"/>
              </w:rPr>
            </w:pPr>
          </w:p>
        </w:tc>
      </w:tr>
      <w:tr>
        <w:trPr>
          <w:trHeight w:val="240"/>
        </w:trPr>
        <w:tc>
          <w:tcPr>
            <w:tcW w:w="5260" w:type="dxa"/>
            <w:vAlign w:val="bottom"/>
            <w:vMerge w:val="continue"/>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6,588,389</w:t>
            </w:r>
          </w:p>
        </w:tc>
        <w:tc>
          <w:tcPr>
            <w:tcW w:w="32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For the three months ended March 31, 2026, total unrecognized compensation cost related to the unvested stock-options was $11,013, which is expected to be recognized over a weighted average period of 2.6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2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The fair values of restricted stock units are based on the market value of the Company’s stock on the date of the grant. Under terms of the time-based restricted stock agreements covering the common stock, shares of restricted common stock are subject to a vesting schedule. The following table summarizes time-based restricted stock activity since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Weighted</w:t>
            </w:r>
          </w:p>
        </w:tc>
        <w:tc>
          <w:tcPr>
            <w:tcW w:w="0" w:type="dxa"/>
            <w:vAlign w:val="bottom"/>
          </w:tcPr>
          <w:p>
            <w:pPr>
              <w:spacing w:after="0"/>
              <w:rPr>
                <w:sz w:val="1"/>
                <w:szCs w:val="1"/>
                <w:color w:val="auto"/>
              </w:rPr>
            </w:pPr>
          </w:p>
        </w:tc>
      </w:tr>
      <w:tr>
        <w:trPr>
          <w:trHeight w:val="243"/>
        </w:trPr>
        <w:tc>
          <w:tcPr>
            <w:tcW w:w="8100" w:type="dxa"/>
            <w:vAlign w:val="bottom"/>
          </w:tcPr>
          <w:p>
            <w:pPr>
              <w:spacing w:after="0"/>
              <w:rPr>
                <w:sz w:val="21"/>
                <w:szCs w:val="21"/>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5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0" w:type="dxa"/>
            <w:vAlign w:val="bottom"/>
          </w:tcPr>
          <w:p>
            <w:pPr>
              <w:spacing w:after="0"/>
              <w:rPr>
                <w:sz w:val="1"/>
                <w:szCs w:val="1"/>
                <w:color w:val="auto"/>
              </w:rPr>
            </w:pPr>
          </w:p>
        </w:tc>
      </w:tr>
      <w:tr>
        <w:trPr>
          <w:trHeight w:val="262"/>
        </w:trPr>
        <w:tc>
          <w:tcPr>
            <w:tcW w:w="8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5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35"/>
        </w:trPr>
        <w:tc>
          <w:tcPr>
            <w:tcW w:w="8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Unvested restricted common stock as of December 31, 2025</w:t>
            </w:r>
          </w:p>
        </w:tc>
        <w:tc>
          <w:tcPr>
            <w:tcW w:w="1420" w:type="dxa"/>
            <w:vAlign w:val="bottom"/>
            <w:tcBorders>
              <w:bottom w:val="single" w:sz="8" w:color="CCEEFF"/>
            </w:tcBorders>
            <w:shd w:val="clear" w:color="auto" w:fill="CCEEFF"/>
          </w:tcPr>
          <w:p>
            <w:pPr>
              <w:jc w:val="center"/>
              <w:ind w:left="521"/>
              <w:spacing w:after="0"/>
              <w:rPr>
                <w:sz w:val="20"/>
                <w:szCs w:val="20"/>
                <w:color w:val="auto"/>
              </w:rPr>
            </w:pPr>
            <w:r>
              <w:rPr>
                <w:rFonts w:ascii="Times New Roman" w:cs="Times New Roman" w:eastAsia="Times New Roman" w:hAnsi="Times New Roman"/>
                <w:sz w:val="20"/>
                <w:szCs w:val="20"/>
                <w:color w:val="auto"/>
                <w:w w:val="98"/>
              </w:rPr>
              <w:t>450,000</w:t>
            </w:r>
          </w:p>
        </w:tc>
        <w:tc>
          <w:tcPr>
            <w:tcW w:w="52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0" w:type="dxa"/>
            <w:vAlign w:val="bottom"/>
          </w:tcPr>
          <w:p>
            <w:pPr>
              <w:spacing w:after="0"/>
              <w:rPr>
                <w:sz w:val="1"/>
                <w:szCs w:val="1"/>
                <w:color w:val="auto"/>
              </w:rPr>
            </w:pPr>
          </w:p>
        </w:tc>
      </w:tr>
      <w:tr>
        <w:trPr>
          <w:trHeight w:val="263"/>
        </w:trPr>
        <w:tc>
          <w:tcPr>
            <w:tcW w:w="8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Vested</w:t>
            </w:r>
          </w:p>
        </w:tc>
        <w:tc>
          <w:tcPr>
            <w:tcW w:w="1420" w:type="dxa"/>
            <w:vAlign w:val="bottom"/>
          </w:tcPr>
          <w:p>
            <w:pPr>
              <w:jc w:val="center"/>
              <w:ind w:left="481"/>
              <w:spacing w:after="0"/>
              <w:rPr>
                <w:sz w:val="20"/>
                <w:szCs w:val="20"/>
                <w:color w:val="auto"/>
              </w:rPr>
            </w:pPr>
            <w:r>
              <w:rPr>
                <w:rFonts w:ascii="Times New Roman" w:cs="Times New Roman" w:eastAsia="Times New Roman" w:hAnsi="Times New Roman"/>
                <w:sz w:val="20"/>
                <w:szCs w:val="20"/>
                <w:color w:val="auto"/>
                <w:w w:val="96"/>
              </w:rPr>
              <w:t>(225,000)</w:t>
            </w:r>
          </w:p>
        </w:tc>
        <w:tc>
          <w:tcPr>
            <w:tcW w:w="5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0" w:type="dxa"/>
            <w:vAlign w:val="bottom"/>
          </w:tcPr>
          <w:p>
            <w:pPr>
              <w:spacing w:after="0"/>
              <w:rPr>
                <w:sz w:val="1"/>
                <w:szCs w:val="1"/>
                <w:color w:val="auto"/>
              </w:rPr>
            </w:pPr>
          </w:p>
        </w:tc>
      </w:tr>
      <w:tr>
        <w:trPr>
          <w:trHeight w:val="35"/>
        </w:trPr>
        <w:tc>
          <w:tcPr>
            <w:tcW w:w="8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Unvested restricted common stock as of March 31, 2026</w:t>
            </w:r>
          </w:p>
        </w:tc>
        <w:tc>
          <w:tcPr>
            <w:tcW w:w="1420" w:type="dxa"/>
            <w:vAlign w:val="bottom"/>
            <w:tcBorders>
              <w:bottom w:val="single" w:sz="8" w:color="CCEEFF"/>
            </w:tcBorders>
            <w:shd w:val="clear" w:color="auto" w:fill="CCEEFF"/>
          </w:tcPr>
          <w:p>
            <w:pPr>
              <w:jc w:val="center"/>
              <w:ind w:left="521"/>
              <w:spacing w:after="0"/>
              <w:rPr>
                <w:sz w:val="20"/>
                <w:szCs w:val="20"/>
                <w:color w:val="auto"/>
              </w:rPr>
            </w:pPr>
            <w:r>
              <w:rPr>
                <w:rFonts w:ascii="Times New Roman" w:cs="Times New Roman" w:eastAsia="Times New Roman" w:hAnsi="Times New Roman"/>
                <w:sz w:val="20"/>
                <w:szCs w:val="20"/>
                <w:color w:val="auto"/>
                <w:w w:val="98"/>
              </w:rPr>
              <w:t>225,000</w:t>
            </w:r>
          </w:p>
        </w:tc>
        <w:tc>
          <w:tcPr>
            <w:tcW w:w="52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0" w:type="dxa"/>
            <w:vAlign w:val="bottom"/>
          </w:tcPr>
          <w:p>
            <w:pPr>
              <w:spacing w:after="0"/>
              <w:rPr>
                <w:sz w:val="1"/>
                <w:szCs w:val="1"/>
                <w:color w:val="auto"/>
              </w:rPr>
            </w:pPr>
          </w:p>
        </w:tc>
      </w:tr>
      <w:tr>
        <w:trPr>
          <w:trHeight w:val="20"/>
        </w:trPr>
        <w:tc>
          <w:tcPr>
            <w:tcW w:w="8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total fair value of time-based restricted stock units vested during the three months ended March 31, 2026 was $567.</w:t>
      </w:r>
    </w:p>
    <w:p>
      <w:pPr>
        <w:spacing w:after="0" w:line="229"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For the three months ended March 31, 2026, there was $472 unrecognized compensation cost related to the time-based unvested restricted stock units.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NET INCOME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(loss) per share</w:t>
      </w:r>
    </w:p>
    <w:p>
      <w:pPr>
        <w:spacing w:after="0" w:line="220"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9"/>
          <w:szCs w:val="19"/>
          <w:color w:val="auto"/>
        </w:rPr>
        <w:t>We compute basic net income (loss) per common share by dividing net income (loss) by the weighted-average number of common shares outstanding. We compute diluted net income (loss) per common share by dividing net income (loss) by the weighted-average number of common shares and dilutive potential common share equivalents then outstanding during the period. Potential common shares consist of shares issuable upon the vesting of restricted stock units and the exercise of stock options (the proceeds of which are then assumed to have been used to repurchase outstanding shares using the treasury stock method). Because the inclusion of potential common shares would be anti-dilutive for periods presenting a net loss, diluted net loss per common share is the same as basic net loss per common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computation of basic and diluted net income (loss) per share attributable to common shareholders of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(in thousands, except share and per share amounts):</w:t>
      </w:r>
    </w:p>
    <w:p>
      <w:pPr>
        <w:spacing w:after="0" w:line="45"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20"/>
          <w:szCs w:val="20"/>
          <w:color w:val="auto"/>
        </w:rPr>
        <w:t>Three Months Ended</w:t>
      </w:r>
    </w:p>
    <w:p>
      <w:pPr>
        <w:spacing w:after="0" w:line="28"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20"/>
          <w:szCs w:val="20"/>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21590</wp:posOffset>
            </wp:positionV>
            <wp:extent cx="18599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2025</w:t>
            </w:r>
          </w:p>
        </w:tc>
      </w:tr>
      <w:tr>
        <w:trPr>
          <w:trHeight w:val="34"/>
        </w:trPr>
        <w:tc>
          <w:tcPr>
            <w:tcW w:w="83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71"/>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 (loss)</w:t>
            </w:r>
          </w:p>
        </w:tc>
        <w:tc>
          <w:tcPr>
            <w:tcW w:w="2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56,542</w:t>
            </w:r>
          </w:p>
        </w:tc>
      </w:tr>
      <w:tr>
        <w:trPr>
          <w:trHeight w:val="270"/>
        </w:trPr>
        <w:tc>
          <w:tcPr>
            <w:tcW w:w="8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9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Weighted average common shares outstanding - basic</w:t>
            </w: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57,233,413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56,663,798</w:t>
            </w:r>
          </w:p>
        </w:tc>
      </w:tr>
      <w:tr>
        <w:trPr>
          <w:trHeight w:val="263"/>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Effect of dilutive securities:</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5"/>
        </w:trPr>
        <w:tc>
          <w:tcPr>
            <w:tcW w:w="8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7"/>
        </w:trPr>
        <w:tc>
          <w:tcPr>
            <w:tcW w:w="8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Options to purchase common stock</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10,886</w:t>
            </w:r>
          </w:p>
        </w:tc>
      </w:tr>
      <w:tr>
        <w:trPr>
          <w:trHeight w:val="263"/>
        </w:trPr>
        <w:tc>
          <w:tcPr>
            <w:tcW w:w="83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Restricted stock units</w:t>
            </w:r>
          </w:p>
        </w:tc>
        <w:tc>
          <w:tcPr>
            <w:tcW w:w="28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990,000</w:t>
            </w:r>
          </w:p>
        </w:tc>
      </w:tr>
      <w:tr>
        <w:trPr>
          <w:trHeight w:val="35"/>
        </w:trPr>
        <w:tc>
          <w:tcPr>
            <w:tcW w:w="8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7"/>
        </w:trPr>
        <w:tc>
          <w:tcPr>
            <w:tcW w:w="8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Employee stock purchase program</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8,415</w:t>
            </w:r>
          </w:p>
        </w:tc>
      </w:tr>
      <w:tr>
        <w:trPr>
          <w:trHeight w:val="287"/>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Weighted average common shares outstanding - diluted</w:t>
            </w:r>
          </w:p>
        </w:tc>
        <w:tc>
          <w:tcPr>
            <w:tcW w:w="2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57,233,413</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57,673,099</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1"/>
        </w:trPr>
        <w:tc>
          <w:tcPr>
            <w:tcW w:w="8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76"/>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income (loss) per share - basic</w:t>
            </w: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(0.16)</w:t>
            </w:r>
          </w:p>
        </w:tc>
        <w:tc>
          <w:tcPr>
            <w:tcW w:w="10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35"/>
        </w:trPr>
        <w:tc>
          <w:tcPr>
            <w:tcW w:w="8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 (loss) per share - diluted</w:t>
            </w: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0.98</w:t>
            </w:r>
          </w:p>
        </w:tc>
      </w:tr>
      <w:tr>
        <w:trPr>
          <w:trHeight w:val="35"/>
        </w:trPr>
        <w:tc>
          <w:tcPr>
            <w:tcW w:w="83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28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9"/>
          <w:szCs w:val="19"/>
          <w:color w:val="auto"/>
        </w:rPr>
        <w:t>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1"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22"/>
          <w:szCs w:val="22"/>
          <w:color w:val="auto"/>
        </w:rPr>
        <w:t>Three Months Ended</w:t>
      </w:r>
    </w:p>
    <w:p>
      <w:pPr>
        <w:spacing w:after="0" w:line="1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22"/>
          <w:szCs w:val="22"/>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12700</wp:posOffset>
            </wp:positionV>
            <wp:extent cx="19291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200" w:type="dxa"/>
            <w:vAlign w:val="bottom"/>
          </w:tcPr>
          <w:p>
            <w:pPr>
              <w:spacing w:after="0"/>
              <w:rPr>
                <w:sz w:val="22"/>
                <w:szCs w:val="22"/>
                <w:color w:val="auto"/>
              </w:rPr>
            </w:pPr>
          </w:p>
        </w:tc>
        <w:tc>
          <w:tcPr>
            <w:tcW w:w="14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2"/>
                <w:szCs w:val="22"/>
                <w:color w:val="auto"/>
              </w:rPr>
            </w:pPr>
          </w:p>
        </w:tc>
        <w:tc>
          <w:tcPr>
            <w:tcW w:w="14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2025</w:t>
            </w:r>
          </w:p>
        </w:tc>
      </w:tr>
      <w:tr>
        <w:trPr>
          <w:trHeight w:val="34"/>
        </w:trPr>
        <w:tc>
          <w:tcPr>
            <w:tcW w:w="82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7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Options to purchase common stock</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11,720,653</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10,828,955</w:t>
            </w:r>
          </w:p>
        </w:tc>
      </w:tr>
      <w:tr>
        <w:trPr>
          <w:trHeight w:val="263"/>
        </w:trPr>
        <w:tc>
          <w:tcPr>
            <w:tcW w:w="8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Unvested restricted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225,000</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4"/>
        </w:trPr>
        <w:tc>
          <w:tcPr>
            <w:tcW w:w="8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77"/>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Shares issuable under employee stock purchase plan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6,539</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3"/>
        </w:trPr>
        <w:tc>
          <w:tcPr>
            <w:tcW w:w="8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Warrants to purchase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10,757</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10,757</w:t>
            </w:r>
          </w:p>
        </w:tc>
      </w:tr>
      <w:tr>
        <w:trPr>
          <w:trHeight w:val="35"/>
        </w:trPr>
        <w:tc>
          <w:tcPr>
            <w:tcW w:w="82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315"/>
        </w:trPr>
        <w:tc>
          <w:tcPr>
            <w:tcW w:w="82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11,962,949</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10,839,712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LEASES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Company has historically entered into lease arrangements for its facilities. As of March 31, 2026, the Company had two operating leases with required future minimum payments. The Company determined the classification of these leases to be operating leases and recorded right-of-use assets and lease liabilities as of the effective dates. The Company’s leases generally do not include termination or purchase options.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leases</w:t>
      </w:r>
    </w:p>
    <w:p>
      <w:pPr>
        <w:spacing w:after="0" w:line="23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On December 5, 2025, the Company entered into a sublease for the remaining floor of its Cambridge, Massachusetts office space. The sublease terminates on August 31, 2028, which is also the date on which the Company's lease terminates. Sublease income is recognized on a straight-line basis over the term of the sublease agreement. The Company was not relieved of its primary obligation under the Cambridge office lease as a result of the sublease. As part of the Company’s evaluation of the December 2025 sublease, it was determined that the estimated undiscounted sublease income exceeded the net book value of the related long-term assets, which includes right-of-use assets and property and equipment associated with the subleased space. Accordingly, the Company recorded an impairment charge of $2,025 related to the right-of-use asset and an impairment charge of $580 related to the associated property and equipment.</w:t>
      </w:r>
    </w:p>
    <w:p>
      <w:pPr>
        <w:spacing w:after="0" w:line="19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On June 19, 2024, the Company entered into a sublease for its office and laboratory space in New York, NY. The sublease terminates on June 30, 2026, with the option to extend to June 30, 2027. Sublease income is recognized on a straight-line basis over the term of the sublease agreement. The Company was not relieved of its primary obligation under the New York lease as a result of the sublease. In December 2025, the subtenant did not exercise its option to the sublease, accordingly it will terminate on June 30, 2026. As part of the Company’s evaluation of the termination of the sublease, it was determined that the undiscounted cash flows projected from an anticipated future sublease exceeded the net book value of the related long-term assets, which includes right-of-use assets and property and equipment associated with the subleased space. Accordingly, the Company recorded an impairment charge of $4,626 related to the right-of-use asset and an impairment charge of $117 related to the associated property and equipment.</w:t>
      </w:r>
    </w:p>
    <w:p>
      <w:pPr>
        <w:spacing w:after="0" w:line="195"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The following table contains a summary of the lease costs recognized under ASC 842 and other information pertaining to the Company’s operating lease for the three months ended March 31, 2026 and 2025:</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22"/>
          <w:szCs w:val="22"/>
          <w:color w:val="auto"/>
        </w:rPr>
        <w:t>Three Months Ended</w:t>
      </w:r>
    </w:p>
    <w:p>
      <w:pPr>
        <w:spacing w:after="0" w:line="1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22"/>
          <w:szCs w:val="22"/>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12700</wp:posOffset>
            </wp:positionV>
            <wp:extent cx="19456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40" w:type="dxa"/>
            <w:vAlign w:val="bottom"/>
            <w:gridSpan w:val="4"/>
          </w:tcPr>
          <w:p>
            <w:pPr>
              <w:jc w:val="right"/>
              <w:ind w:right="441"/>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35"/>
        </w:trPr>
        <w:tc>
          <w:tcPr>
            <w:tcW w:w="674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Lease Cost</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Operating lease cost</w:t>
            </w:r>
          </w:p>
        </w:tc>
        <w:tc>
          <w:tcPr>
            <w:tcW w:w="280" w:type="dxa"/>
            <w:vAlign w:val="bottom"/>
          </w:tcPr>
          <w:p>
            <w:pPr>
              <w:spacing w:after="0"/>
              <w:rPr>
                <w:sz w:val="22"/>
                <w:szCs w:val="22"/>
                <w:color w:val="auto"/>
              </w:rPr>
            </w:pPr>
          </w:p>
        </w:tc>
        <w:tc>
          <w:tcPr>
            <w:tcW w:w="1920" w:type="dxa"/>
            <w:vAlign w:val="bottom"/>
            <w:gridSpan w:val="2"/>
          </w:tcPr>
          <w:p>
            <w:pPr>
              <w:jc w:val="right"/>
              <w:ind w:right="541"/>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w:t>
            </w:r>
          </w:p>
        </w:tc>
        <w:tc>
          <w:tcPr>
            <w:tcW w:w="1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w:t>
            </w: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Variable lease cost</w:t>
            </w: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0" w:type="dxa"/>
            <w:vAlign w:val="bottom"/>
          </w:tcPr>
          <w:p>
            <w:pPr>
              <w:spacing w:after="0"/>
              <w:rPr>
                <w:sz w:val="1"/>
                <w:szCs w:val="1"/>
                <w:color w:val="auto"/>
              </w:rPr>
            </w:pPr>
          </w:p>
        </w:tc>
      </w:tr>
      <w:tr>
        <w:trPr>
          <w:trHeight w:val="263"/>
        </w:trPr>
        <w:tc>
          <w:tcPr>
            <w:tcW w:w="6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Sublease income</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0" w:type="dxa"/>
            <w:vAlign w:val="bottom"/>
          </w:tcPr>
          <w:p>
            <w:pPr>
              <w:spacing w:after="0"/>
              <w:rPr>
                <w:sz w:val="1"/>
                <w:szCs w:val="1"/>
                <w:color w:val="auto"/>
              </w:rPr>
            </w:pPr>
          </w:p>
        </w:tc>
      </w:tr>
      <w:tr>
        <w:trPr>
          <w:trHeight w:val="35"/>
        </w:trPr>
        <w:tc>
          <w:tcPr>
            <w:tcW w:w="674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lease cost</w:t>
            </w: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541"/>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Other Operating Lease Information</w:t>
            </w: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6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March 31, 2026</w:t>
            </w:r>
          </w:p>
        </w:tc>
        <w:tc>
          <w:tcPr>
            <w:tcW w:w="2220" w:type="dxa"/>
            <w:vAlign w:val="bottom"/>
            <w:gridSpan w:val="4"/>
          </w:tcPr>
          <w:p>
            <w:pPr>
              <w:jc w:val="right"/>
              <w:ind w:right="381"/>
              <w:spacing w:after="0"/>
              <w:rPr>
                <w:sz w:val="20"/>
                <w:szCs w:val="20"/>
                <w:color w:val="auto"/>
              </w:rPr>
            </w:pPr>
            <w:r>
              <w:rPr>
                <w:rFonts w:ascii="Times New Roman" w:cs="Times New Roman" w:eastAsia="Times New Roman" w:hAnsi="Times New Roman"/>
                <w:sz w:val="20"/>
                <w:szCs w:val="20"/>
                <w:color w:val="auto"/>
              </w:rPr>
              <w:t>March 31, 2025</w:t>
            </w:r>
          </w:p>
        </w:tc>
        <w:tc>
          <w:tcPr>
            <w:tcW w:w="0" w:type="dxa"/>
            <w:vAlign w:val="bottom"/>
          </w:tcPr>
          <w:p>
            <w:pPr>
              <w:spacing w:after="0"/>
              <w:rPr>
                <w:sz w:val="1"/>
                <w:szCs w:val="1"/>
                <w:color w:val="auto"/>
              </w:rPr>
            </w:pPr>
          </w:p>
        </w:tc>
      </w:tr>
      <w:tr>
        <w:trPr>
          <w:trHeight w:val="35"/>
        </w:trPr>
        <w:tc>
          <w:tcPr>
            <w:tcW w:w="67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liability</w:t>
            </w:r>
          </w:p>
        </w:tc>
        <w:tc>
          <w:tcPr>
            <w:tcW w:w="2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9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1,139</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21"/>
              <w:spacing w:after="0"/>
              <w:rPr>
                <w:sz w:val="20"/>
                <w:szCs w:val="20"/>
                <w:color w:val="auto"/>
              </w:rPr>
            </w:pPr>
            <w:r>
              <w:rPr>
                <w:rFonts w:ascii="Times New Roman" w:cs="Times New Roman" w:eastAsia="Times New Roman" w:hAnsi="Times New Roman"/>
                <w:sz w:val="20"/>
                <w:szCs w:val="20"/>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1,109</w:t>
            </w:r>
          </w:p>
        </w:tc>
        <w:tc>
          <w:tcPr>
            <w:tcW w:w="0" w:type="dxa"/>
            <w:vAlign w:val="bottom"/>
          </w:tcPr>
          <w:p>
            <w:pPr>
              <w:spacing w:after="0"/>
              <w:rPr>
                <w:sz w:val="1"/>
                <w:szCs w:val="1"/>
                <w:color w:val="auto"/>
              </w:rPr>
            </w:pPr>
          </w:p>
        </w:tc>
      </w:tr>
      <w:tr>
        <w:trPr>
          <w:trHeight w:val="263"/>
        </w:trPr>
        <w:tc>
          <w:tcPr>
            <w:tcW w:w="6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Weighted-average remaining lease term</w:t>
            </w:r>
          </w:p>
        </w:tc>
        <w:tc>
          <w:tcPr>
            <w:tcW w:w="280" w:type="dxa"/>
            <w:vAlign w:val="bottom"/>
          </w:tcPr>
          <w:p>
            <w:pPr>
              <w:spacing w:after="0"/>
              <w:rPr>
                <w:sz w:val="22"/>
                <w:szCs w:val="22"/>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28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5.3 %</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5.3 %</w:t>
            </w:r>
          </w:p>
        </w:tc>
        <w:tc>
          <w:tcPr>
            <w:tcW w:w="0" w:type="dxa"/>
            <w:vAlign w:val="bottom"/>
          </w:tcPr>
          <w:p>
            <w:pPr>
              <w:spacing w:after="0"/>
              <w:rPr>
                <w:sz w:val="1"/>
                <w:szCs w:val="1"/>
                <w:color w:val="auto"/>
              </w:rPr>
            </w:pPr>
          </w:p>
        </w:tc>
      </w:tr>
      <w:tr>
        <w:trPr>
          <w:trHeight w:val="34"/>
        </w:trPr>
        <w:tc>
          <w:tcPr>
            <w:tcW w:w="67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variable lease costs for the three months ended March 31, 2026 and 2025 include common area maintenance and other operating charges. As the Company’s leases do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COMMITMENTS AND CONTINGENCIES</w:t>
      </w:r>
    </w:p>
    <w:p>
      <w:pPr>
        <w:spacing w:after="0" w:line="23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The Company enters into contracts in the normal course of business with contract research organizations (CROs), contract manufacturing organizations (CMOs) and other third parties for preclinical research studies, clinical trials and testing and manufacturing services. These contracts do not contain minimum purchase commitments and are cancelable upon prior written notice. Payments due upon cancellation consist only of payments for services provided or expenses incurred, including noncancelable obligations of service providers, up to the date of cancellation.</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Agreements</w:t>
      </w:r>
    </w:p>
    <w:p>
      <w:pPr>
        <w:spacing w:after="0" w:line="23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color w:val="auto"/>
        </w:rPr>
        <w:t>The Company is party to license agreements, which include contingent payments. These payments will become payable if and when certain development, regulatory and commercial milestones are achieved. As of March 31, 2026, the satisfaction and timing of the contingent payments is uncertain and not reasonably estimable.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 agreements</w:t>
      </w:r>
    </w:p>
    <w:p>
      <w:pPr>
        <w:spacing w:after="0" w:line="2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consolidated financial statements as of March 31, 2026 or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color w:val="auto"/>
        </w:rPr>
        <w:t>The Company is not currently party to and is not aware of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BENEFIT PLANS</w:t>
      </w:r>
    </w:p>
    <w:p>
      <w:pPr>
        <w:spacing w:after="0" w:line="2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Company has a tax-qualified 401(k) and Profit Sharing defined contribution plan (the 401(k) Plan). Under the 401(k) Plan, the Company provides an employer safe harbor matching contribution equal to 100% of a participant’s eligible contributions of up to 6% of eligible compensation, subject to limits established by the Internal Revenue Code of 1986, as amended, and any regulations promulgated thereunder (the Code). All matching contributions are fully vested when made. During the three months ended March 31, 2026 and 2025, the Company contributed $198 and $154, respectively, to the 401(k)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SEGMENT REPORTING</w:t>
      </w:r>
    </w:p>
    <w:p>
      <w:pPr>
        <w:spacing w:after="0" w:line="22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 operates as a single reporting segment, focused on the development of MasterKey therapies that target families of oncogenic mutations in patients with cancer.</w:t>
      </w:r>
    </w:p>
    <w:p>
      <w:pPr>
        <w:spacing w:after="0" w:line="18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The Company’s measure of segment profit or loss is net income (loss). The CODM is the chief executive officer (CEO). The CODM manages and allocates resources to the operations of the Company on a total company basis. Managing and allocating resources on a consolidated basis enables the CEO to assess the overall level of resources available and how to best deploy these resources across functions and development projects that are in line with the Company’s strategic goals. Consistent with this decision-making process, the CEO uses consolidated financial information for purposes of evaluating performance, forecasting future period financial results, allocating resources and setting incentive targets. Segment net income (loss) is used to monitor budget versus actual results and in assessing performance of the segment.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20"/>
          <w:szCs w:val="20"/>
          <w:color w:val="auto"/>
        </w:rPr>
        <w:t>The following table is a reconciliation of the significant expense categories to segment net income (loss) regularly provided to the CODM when managing the Company’s single reporting segment:</w:t>
      </w:r>
    </w:p>
    <w:p>
      <w:pPr>
        <w:spacing w:after="0" w:line="1"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20"/>
          <w:szCs w:val="20"/>
          <w:color w:val="auto"/>
        </w:rPr>
        <w:t>Three Months Ended</w:t>
      </w:r>
    </w:p>
    <w:p>
      <w:pPr>
        <w:spacing w:after="0" w:line="28"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20"/>
          <w:szCs w:val="20"/>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21590</wp:posOffset>
            </wp:positionV>
            <wp:extent cx="18599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2025</w:t>
            </w:r>
          </w:p>
        </w:tc>
      </w:tr>
      <w:tr>
        <w:trPr>
          <w:trHeight w:val="35"/>
        </w:trPr>
        <w:tc>
          <w:tcPr>
            <w:tcW w:w="83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4"/>
          </w:tcPr>
          <w:p>
            <w:pPr>
              <w:spacing w:after="0"/>
              <w:rPr>
                <w:sz w:val="3"/>
                <w:szCs w:val="3"/>
                <w:color w:val="auto"/>
              </w:rPr>
            </w:pPr>
          </w:p>
        </w:tc>
      </w:tr>
      <w:tr>
        <w:trPr>
          <w:trHeight w:val="256"/>
        </w:trPr>
        <w:tc>
          <w:tcPr>
            <w:tcW w:w="8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20" w:type="dxa"/>
            <w:vAlign w:val="bottom"/>
            <w:gridSpan w:val="4"/>
          </w:tcPr>
          <w:p>
            <w:pPr>
              <w:jc w:val="right"/>
              <w:ind w:right="801"/>
              <w:spacing w:after="0"/>
              <w:rPr>
                <w:sz w:val="20"/>
                <w:szCs w:val="20"/>
                <w:color w:val="auto"/>
              </w:rPr>
            </w:pPr>
            <w:r>
              <w:rPr>
                <w:rFonts w:ascii="Times New Roman" w:cs="Times New Roman" w:eastAsia="Times New Roman" w:hAnsi="Times New Roman"/>
                <w:sz w:val="20"/>
                <w:szCs w:val="20"/>
                <w:color w:val="auto"/>
              </w:rPr>
              <w:t>(in thousands)</w:t>
            </w:r>
          </w:p>
        </w:tc>
      </w:tr>
      <w:tr>
        <w:trPr>
          <w:trHeight w:val="34"/>
        </w:trPr>
        <w:tc>
          <w:tcPr>
            <w:tcW w:w="8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7"/>
        </w:trPr>
        <w:tc>
          <w:tcPr>
            <w:tcW w:w="8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License revenue</w:t>
            </w: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(70,000)</w:t>
            </w:r>
          </w:p>
        </w:tc>
      </w:tr>
      <w:tr>
        <w:trPr>
          <w:trHeight w:val="263"/>
        </w:trPr>
        <w:tc>
          <w:tcPr>
            <w:tcW w:w="83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Program expenses:</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34"/>
        </w:trPr>
        <w:tc>
          <w:tcPr>
            <w:tcW w:w="8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7"/>
        </w:trPr>
        <w:tc>
          <w:tcPr>
            <w:tcW w:w="8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Silevertinib (NSCLC) research and development expenses</w:t>
            </w: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2,788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5,204</w:t>
            </w:r>
          </w:p>
        </w:tc>
      </w:tr>
      <w:tr>
        <w:trPr>
          <w:trHeight w:val="262"/>
        </w:trPr>
        <w:tc>
          <w:tcPr>
            <w:tcW w:w="8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Silevertinib (GBM) research and development expenses</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5"/>
        </w:trPr>
        <w:tc>
          <w:tcPr>
            <w:tcW w:w="8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7"/>
        </w:trPr>
        <w:tc>
          <w:tcPr>
            <w:tcW w:w="8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BDTX-4933 research and development expenses</w:t>
            </w:r>
          </w:p>
        </w:tc>
        <w:tc>
          <w:tcPr>
            <w:tcW w:w="3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1,018</w:t>
            </w:r>
          </w:p>
        </w:tc>
      </w:tr>
      <w:tr>
        <w:trPr>
          <w:trHeight w:val="297"/>
        </w:trPr>
        <w:tc>
          <w:tcPr>
            <w:tcW w:w="8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research programs and development expenses</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w:t>
            </w:r>
          </w:p>
        </w:tc>
      </w:tr>
      <w:tr>
        <w:trPr>
          <w:trHeight w:val="297"/>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Non-program expenses</w:t>
            </w:r>
            <w:r>
              <w:rPr>
                <w:rFonts w:ascii="Times New Roman" w:cs="Times New Roman" w:eastAsia="Times New Roman" w:hAnsi="Times New Roman"/>
                <w:sz w:val="25"/>
                <w:szCs w:val="25"/>
                <w:color w:val="auto"/>
                <w:vertAlign w:val="superscript"/>
              </w:rPr>
              <w:t>2</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3,546</w:t>
            </w:r>
          </w:p>
        </w:tc>
      </w:tr>
      <w:tr>
        <w:trPr>
          <w:trHeight w:val="263"/>
        </w:trPr>
        <w:tc>
          <w:tcPr>
            <w:tcW w:w="83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Personnel-related expenses</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3,351</w:t>
            </w:r>
          </w:p>
        </w:tc>
      </w:tr>
      <w:tr>
        <w:trPr>
          <w:trHeight w:val="34"/>
        </w:trPr>
        <w:tc>
          <w:tcPr>
            <w:tcW w:w="8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7"/>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Other segment items</w:t>
            </w:r>
            <w:r>
              <w:rPr>
                <w:rFonts w:ascii="Times New Roman" w:cs="Times New Roman" w:eastAsia="Times New Roman" w:hAnsi="Times New Roman"/>
                <w:sz w:val="25"/>
                <w:szCs w:val="25"/>
                <w:color w:val="auto"/>
                <w:vertAlign w:val="superscript"/>
              </w:rPr>
              <w:t>3</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(748)</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(223)</w:t>
            </w:r>
          </w:p>
        </w:tc>
      </w:tr>
      <w:tr>
        <w:trPr>
          <w:trHeight w:val="256"/>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Segment net (income) loss</w:t>
            </w: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9,036</w:t>
            </w:r>
          </w:p>
        </w:tc>
        <w:tc>
          <w:tcPr>
            <w:tcW w:w="1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(56,542)</w:t>
            </w:r>
          </w:p>
        </w:tc>
      </w:tr>
      <w:tr>
        <w:trPr>
          <w:trHeight w:val="34"/>
        </w:trPr>
        <w:tc>
          <w:tcPr>
            <w:tcW w:w="83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i w:val="1"/>
          <w:iCs w:val="1"/>
          <w:color w:val="auto"/>
        </w:rPr>
        <w:t>1) Includes cross-program consulting expenses; (2) Includes facilities, information technology, legal, intellectual property, and other general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i w:val="1"/>
          <w:iCs w:val="1"/>
          <w:color w:val="auto"/>
        </w:rPr>
        <w:t>administrative expense; (3) Includes stock-based compensation expense, depreciation, sublease income, investment accretion, interest income, and other (income)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LICENSE REVENUE</w:t>
      </w:r>
    </w:p>
    <w:p>
      <w:pPr>
        <w:spacing w:after="0" w:line="23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In March 2025, the Company entered into a license agreement with Servier. Pursuant to the Servier Agreement, the Company granted to Servier a worldwide license to develop and commercialize BDTX-4933. Under the terms of the Servier Agreement, Servier will lead the development activities and the worldwide commercialization of BDTX-4933 across multiple indications, including NSCLC, with potential applications in other solid tumors. Under the Servier Agreement, the Company received an upfront payment of $70,000 in March 2025 and will be eligible to receive up to $710,000 in development and commercial sales milestone payments, along with tiered royalties based on global net sales. These milestone and royalty payments will become payable to the Company if and when the development and commercial sales milestones are achieved and commercial sales of the licensed product are made.</w:t>
      </w:r>
    </w:p>
    <w:p>
      <w:pPr>
        <w:spacing w:after="0" w:line="1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Unless earlier terminated, the term of the Servier Agreement continues until expiration of the last royalty term for the applicable product in the applicable country. The Servier Agreement is subject to customary termination provisions, including termination by a party for the other party’s uncured, material breach. The Servier Agreement also includes customary representations and warranties, covenants and indemnification obligations.</w:t>
      </w:r>
    </w:p>
    <w:p>
      <w:pPr>
        <w:spacing w:after="0" w:line="18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The Company assessed the Servier Agreement in accordance with ASC 606 and concluded that the contract counterparty, Servier, is a customer. In accordance with ASC 606, the Company determined that there is one performance obligation in the Servier Agreement, consisting of the license of the functional IP rights to BDTX-4933 granted to Servier. The transaction price was comprised of the fixed consideration of $70,000 and was recognized upon transfer of control of the license at a point in time upon contract execution. The arrangement includes significant variable consideration primarily in the form of development and commercial sales milestone payments and royalty fees.</w:t>
      </w:r>
    </w:p>
    <w:p>
      <w:pPr>
        <w:spacing w:after="0" w:line="179" w:lineRule="exact"/>
        <w:rPr>
          <w:sz w:val="20"/>
          <w:szCs w:val="20"/>
          <w:color w:val="auto"/>
        </w:rPr>
      </w:pPr>
    </w:p>
    <w:p>
      <w:pPr>
        <w:ind w:right="520"/>
        <w:spacing w:after="0" w:line="276" w:lineRule="auto"/>
        <w:rPr>
          <w:sz w:val="20"/>
          <w:szCs w:val="20"/>
          <w:color w:val="auto"/>
        </w:rPr>
      </w:pPr>
      <w:r>
        <w:rPr>
          <w:rFonts w:ascii="Times New Roman" w:cs="Times New Roman" w:eastAsia="Times New Roman" w:hAnsi="Times New Roman"/>
          <w:sz w:val="19"/>
          <w:szCs w:val="19"/>
          <w:color w:val="auto"/>
        </w:rPr>
        <w:t>The development milestone fees are fully constrained at the inception of the contract. The estimate of variable consideration and the judgments related to the constraints for the development milestones are reassessed each reporting period under the most likely amount method. As of and for the three months ended March 31, 2026, the Company determined the events underlying the milestones were not probable, therefore the variable consideration was fully constrained and no adjustments to the estimates have been made.</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The commercial sales milestones and royalty fees are considered variable consideration and will be recognized as revenue as such sales occur. The commercial sales milestones and royalty fees qualify for the sales and usage-based royalty exception because the license of the functional IP rights to BDTX-4933 is the predominant element of the Servier Agreement and therefore does not require an estimate of the future transaction price.</w:t>
      </w:r>
    </w:p>
    <w:p>
      <w:pPr>
        <w:spacing w:after="0" w:line="17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During the three months ended March 31, 2026, the Company recorded no license revenue pursuant to the Servier Agreement and $70,000 in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9"/>
          <w:szCs w:val="19"/>
          <w:i w:val="1"/>
          <w:iCs w:val="1"/>
          <w:color w:val="auto"/>
        </w:rPr>
        <w:t>The following discussion and analysis should be read in conjunction with the unaudited condensed consolidated financial statements and related notes included elsewhere in this Quarterly Report and our audited consolidated financial statements and related notes thereto for the year ended December 31, 2025, as well as Management’s Discussion and Analysis of Financial Condition and Results of Operations, included in our Annual Report on Form 10-K for the year ended December 31, 2025, which was filed with the SEC on March 16, 2026.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in our Annual Report on Form 10-K and in other SEC filings.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are a clinical-stage oncology company developing MasterKey therapies that target families of oncogenic mutations in patients with cancer. The foundation of our company is built upon a deep understanding of cancer genetics, onco-protein structure and function, and medicinal chemistry. Our MasterKey therapies are designed to address a broad spectrum of genetically defined tumors, overcome resistance, minimize wild-type mediated toxicities, and be brain-penetrant to treat central nervous system (CNS) disease. Our compounds target families of oncogenic mutations in clinically validated pathways. Our lead clinical-stage program, silevertinib (formerly BDTX-1535), is a brain-penetrant, covalent, fourth-generation epidermal growth factor receptor (EGFR) MasterKey inhibitor targeting epidermal growth factor receptor mutant (EGFRm) non-small cell lung cancer (NSCLC) and glioblastoma (GBM). We are advancing a Phase 2 trial in NSCLC patients and initiated a randomized Phase 2 trial of silevertinib in newly diagnosed patients with EGFRvIII+ glioblastoma (GBM), with the first patient dosed in May 2026.</w:t>
      </w:r>
    </w:p>
    <w:p>
      <w:pPr>
        <w:spacing w:after="0" w:line="176"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color w:val="auto"/>
        </w:rPr>
        <w:t>We believe that our clinical-stage lead product candidate, silevertinib, has the potential to treat newly diagnosed patients with EGFRm NSCLC, as well as those with recurrent disease, based upon silevertinib’s ability to address greater than 50 classical and non-classical oncogenic driver mutations with greater potency than other EGFR tyrosine kinase inhibitors (TKIs), as well as uniquely target the C797S resistance mutation which can be acquired after treatment with osimertinib. Silevertinib was shown to be well tolerated and achieve durable clinical responses in our Phase 1 trial in patients with recurrent EGFRm NSCLC whose tumors expressed a range of mutation subtypes, including the acquired C797S resistance mutation and a broad spectrum of non-classical mutations. Initial data from a Phase 2 trial of 83 patients with EGFRm NSCLC in the second- and third-line settings demonstrated encouraging clinical responses, robust EGFRm target coverage, a favorable tolerability profile with no new safety signals observed.</w:t>
      </w:r>
    </w:p>
    <w:p>
      <w:pPr>
        <w:spacing w:after="0" w:line="19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In July of 2025, we completed enrollment of 43 patients in a Phase 2 trial of silevertinib in frontline NSCLC patients harboring non-classical EGFR mutations. In December of 2025, we announced initial data from these 43 frontline NSCLC patients harboring a broad spectrum of 35 distinct non-classical EGFR mutations, including 16 patients with brain metastases (7 of whom had measurable CNS target lesions). All patients were enrolled at a 200mg oral daily dose of silevertinib. Efficacy and safety were assessed with a November 3, 2025 data cutoff and median follow-up time as of this date was 7.2 months. The initial data from this trial was encouraging with 25 confirmed partial responses and 1 confirmed complete response equating to a 60% Objective Response Rate (ORR by RECIST 1.1). CNS ORR (by RANO-BM) was 86% and the disease control rate (DCR) was 91%. No new safety signals were observed. Adverse events (AEs) experienced by a majority of patients included rash, stomatitis, diarrhea and paronychia and were managed with standard supportive care and dose interruptions or reductions without compromising response depth or durability. As of the November 3, 2025 data cutoff, 29 patients remained on therapy (5 of 29 after progression) with one patient having been on therapy for more than 19 months. We will present updated results from the Phase 2 NSCLC trial, including preliminary duration of response (DOR) and progression-free survival (PFS) data in the frontline setting (43 patients) as well as final clinical results in the recurrent setting (83 patients), at the American Society of Clinical Oncology (ASCO) Annual Meeting, May 29 – June 2, 2026.</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Silevertinib has demonstrated encouraging CNS activity in multiple trials across NSCLC and GBM. In our Phase 2 in frontline patients with EGFRm NSCLC 86% of patients achieved a confirmed CNS response. The results from our Phase 1 trial of silevertinib in patients with relapsed/recurrent GBM (presented at ASCO in 2024) showed encouraging duration of treatment and clinical activity, and a tolerability profile consistent with the initial safety data seen in patients with recurrent NSCLC. A Phase 0/1 “window of opportunity” study sponsored by the Ivy Brain Tumor Center in Phoenix, Arizona in patients with recurrent high-grade glioma (HGG) with EGFR alterations and/or fusions at initial diagnosis demonstrated that silevertinib exceeded the pre-specified threshold for drug concentration in the brain tumor tissue and was generally well tolerated. It also showed that silevertinib penetrates non-contrast enhancing regions of glioblastoma and suppresses EGFR signaling in patient tumors. Based on these data and together with the robust CNS ORR demonstrated by silevertinib to date in our Phase 2 trial in frontline EGFRm NSCLC patents, we believe that silevertinib is uniquely positioned as a potential treatment for patients with newly diagnosed EGFR-altered GBM. Following feedback on the study design received from the FDA in January 2026, we initiated a randomized Phase 2 trial in this patient population and dosed the first patient in May 2026. After a combination safety lead-in of silevertinib plus temozolomide (TMZ), the trial is expected to enroll approximately 150 newly diagnosed patients, randomized to receive TMZ (as the control arm) or silevertinib plus TMZ (as the experimental arm). The eligible patient population will be on EGFRvIII-positive patients (approximately 30% of GBM patients) who are O-6-methylguanine-DNA methyltransferase (MGMT) -negative (unmethylated). Randomization and treatment will begin after patients have had surgical resection and radiation and are eligible for maintenance TMZ. The primary endpoint of the trial will be PFS (RANO by blinded independent committee review, or BICR), with a planned futility analysis, and an interim PFS analysis anticipated in the first half 2028. The secondary endpoint of the trial will be overall survival (OS). The trial will be governed by an independent data monitoring committee (IDMC).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also continuing to explore potential partnership opportunities to advance silevertinib into pivotal development.</w:t>
      </w:r>
    </w:p>
    <w:p>
      <w:pPr>
        <w:spacing w:after="0" w:line="2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Our second clinical-stage asset, BDTX-4933 (also known as S241656), was outlicensed to Servier Pharmaceuticals LLC (Servier) in the first quarter of 2025. Pursuant to the license agreement, we granted to Servier a global license to develop and commercialize BDTX-4933. Under the terms of the license agreement, Servier will lead the development activities and the global commercialization of BDTX-4933 across multiple indications, including NSCLC, with potential applications in other solid tumors. In consideration for the license granted to Servier, we received an upfront payment of $70.0 million in March 2025 and will be eligible to receive up to $710.0 million in development and commercial sales milestone payments, along with tiered royalties based on global net sales. See Note 14, License Revenue, to the consolidated financial statements included elsewhere in this Annual Report for additional information.</w:t>
      </w:r>
    </w:p>
    <w:p>
      <w:pPr>
        <w:spacing w:after="0" w:line="17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Since our inception in 2014, we have devoted substantially all of our efforts and financial resources to organizing and staffing our company, business planning, raising capital, discovering product candidates and securing related intellectual property rights while conducting research and development activities for our programs. We do not have any products approved for sale and have not generated any revenue from product sales. We may never be able to develop or commercialize a marketable product. We have not yet successfully completed any pivotal clinical trials, obtained any regulatory marketing approvals, manufactured a commercial-scale drug, or conducted sales and marketing activities.</w:t>
      </w:r>
    </w:p>
    <w:p>
      <w:pPr>
        <w:spacing w:after="0" w:line="19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To date, we have funded our operations primarily with proceeds from sales of our common stock and preferred stock, and through the $70.0 million upfront payment received under the Servier Agreement in March 2025. Since inception, we have incurred significant operating losses. Our net loss was $9.0 million and our net income was $56.5 million for the three months ended March 31, 2026 and 2025, respectively. As of March 31, 2026, we had an accumulated deficit of $473.8 million. Our ability to generate product revenue sufficient to achieve profitability will depend heavily on the successful development and eventual commercialization of our current or future product candidates. We expect that our expenses and capital requirements will increase substantially in connection with our ongoing activities, particularly if and as we:</w:t>
      </w:r>
    </w:p>
    <w:p>
      <w:pPr>
        <w:spacing w:after="0" w:line="71"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clinical development of silevertinib;</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maintain, expand, enforce and protect our intellectual property portfolio;</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320" w:hanging="328"/>
        <w:spacing w:after="0" w:line="283"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existing collaborations or strategic relationships and identify and enter into future license agreements and collaborations with third parties;</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and retain key clinical, scientific, management and commercial personnel;</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marketing approvals for our product candidates that successfully complete clinical trials, if any;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in-license additional product candidates.</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private and public equity offerings, debt financings or other capital sources, which may include collaborations and licensing arrangements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and reduce headcount and general and administrative costs.</w:t>
      </w:r>
    </w:p>
    <w:p>
      <w:pPr>
        <w:spacing w:after="0" w:line="17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Additionally, we continue to actively monitor macroeconomic conditions and market volatility resulting from global and national economic developments, political unrest, new or increased international tariffs and retaliatory tariffs, high inflation, disruptions in capital markets, changes in international trade relationships, changes in U.S. governmental agencies, new laws and regulations or amendments to existing laws and regulations in the U.S. and foreign countries, and military conflicts. While we believe such factors have had no significant impact on our business or financial results during the periods presented, future developments and potential impacts on our business are uncertain and cannot be predicted with confidence.</w:t>
      </w:r>
    </w:p>
    <w:p>
      <w:pPr>
        <w:spacing w:after="0" w:line="19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As of March 31, 2026, we had cash, cash equivalents and investments of approximately $118.3 million, which we believe will enable us to fund our operating expenses and capital expenditure requirements into the second half of 2028.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 If we are unable to raise additional capital in sufficient amounts or on terms acceptable to us, we may have to significantly delay, scale back or discontinue the development or commercialization of our product candidates or other research and development initiatives.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Since our inception, we have not generated any product revenue and do not expect to generate any revenue from the sale of products for the foreseeable future. To date, we have generated revenue solely from licensing of intellectual property. If our development efforts for our product candidates are successful and result in regulatory approval, or if we enter into collaboration or license agreements with third parties, we may generate revenue in the future from a combination of product sales or payments from such collaboration or license agreements. However, there can be no assurance as to when we will generate such revenue, if at all.</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20"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Research and development expenses consist primarily of costs incurred for our research activities, including the development of our product candidates. We expense research and development costs as incurred, which include:</w:t>
      </w:r>
    </w:p>
    <w:p>
      <w:pPr>
        <w:spacing w:after="0" w:line="38"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incurred to conduct the necessary preclinical studies and clinical trials required to obtain regulatory approval;</w:t>
      </w:r>
    </w:p>
    <w:p>
      <w:pPr>
        <w:spacing w:after="0" w:line="121" w:lineRule="exact"/>
        <w:rPr>
          <w:rFonts w:ascii="Times New Roman" w:cs="Times New Roman" w:eastAsia="Times New Roman" w:hAnsi="Times New Roman"/>
          <w:sz w:val="20"/>
          <w:szCs w:val="20"/>
          <w:color w:val="auto"/>
        </w:rPr>
      </w:pPr>
    </w:p>
    <w:p>
      <w:pPr>
        <w:ind w:left="660" w:right="20" w:hanging="328"/>
        <w:spacing w:after="0" w:line="258"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incurred under agreements with contract research organizations (CROs) that are primarily engaged in the oversight and conduct of our drug discovery efforts, preclinical studies, and clinical trials as well as under agreements with contract manufacturing organizations (CMOs) that are primarily engaged to provide preclinical and clinical drug substance and product for our research and development programs;</w:t>
      </w:r>
    </w:p>
    <w:p>
      <w:pPr>
        <w:spacing w:after="0" w:line="64" w:lineRule="exact"/>
        <w:rPr>
          <w:rFonts w:ascii="Times New Roman" w:cs="Times New Roman" w:eastAsia="Times New Roman" w:hAnsi="Times New Roman"/>
          <w:sz w:val="20"/>
          <w:szCs w:val="20"/>
          <w:color w:val="auto"/>
        </w:rPr>
      </w:pPr>
    </w:p>
    <w:p>
      <w:pPr>
        <w:ind w:left="660" w:right="240" w:hanging="328"/>
        <w:spacing w:after="0" w:line="268"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costs related to the conduct of preclinical studies, and clinical trials, including acquiring and manufacturing materials, manufacturing validation batches, fees to investigative sites and consultants that conduct our clinical trials, preclinical studies and other scientific development support services;</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made in cash or equity securities under third-party licensing, acquisition and option agreements;</w:t>
      </w:r>
    </w:p>
    <w:p>
      <w:pPr>
        <w:spacing w:after="0" w:line="121" w:lineRule="exact"/>
        <w:rPr>
          <w:rFonts w:ascii="Times New Roman" w:cs="Times New Roman" w:eastAsia="Times New Roman" w:hAnsi="Times New Roman"/>
          <w:sz w:val="20"/>
          <w:szCs w:val="20"/>
          <w:color w:val="auto"/>
        </w:rPr>
      </w:pPr>
    </w:p>
    <w:p>
      <w:pPr>
        <w:ind w:left="660" w:right="100" w:hanging="328"/>
        <w:spacing w:after="0" w:line="269"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employee-related expenses, including salaries and benefits, travel and stock-based compensation expense for employees engaged in research and development functions;</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related to compliance with regulatory requirements;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allocated facilities-related costs, depreciation and other expenses, which include rent and utilities.</w:t>
      </w:r>
    </w:p>
    <w:p>
      <w:pPr>
        <w:spacing w:after="0" w:line="2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recognize external development costs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Any nonrefundable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w:t>
      </w:r>
    </w:p>
    <w:p>
      <w:pPr>
        <w:spacing w:after="0" w:line="17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Our direct external research and development expenses consist primarily of external costs, such as fees paid to outside consultants, CROs, CMOs and research laboratories in connection with our preclinical development, process development, manufacturing and clinical development activities. Our direct research and development expenses also include fees incurred under license, acquisition and option agreements. We do not allocate employee costs, costs associated with our development efforts, and facilities, including depreciation or other indirect costs, to specific programs because these costs are deployed across multiple programs and, as such, are not separately classified. We use internal resources primarily to conduct our research as well as for managing our preclinical development, process development, manufacturing and clinical development activities. These employees work across multiple programs and, therefore, we do not track their costs by program.</w:t>
      </w:r>
    </w:p>
    <w:p>
      <w:pPr>
        <w:spacing w:after="0" w:line="19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as we continue our clinical development of silevertinib. In addition, we may incur additional expenses related to milestone and royalty payments payable to third parties with whom we may enter into license, acquisition and option agreements to acquire the rights to future product candidates.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At this time, we cannot reasonably estimate or know the nature, timing and costs of the efforts that will be necessary to complete the clinical development of any of our product candidates or when, if ever, material net cash inflows may commence from any of our product candidates. The successful development and commercialization of our product candidates is highly uncertain. This uncertainty is due to the numerous risks and uncertainties associated with product development and commercialization, including the uncertainty of the following:</w:t>
      </w:r>
    </w:p>
    <w:p>
      <w:pPr>
        <w:spacing w:after="0" w:line="64"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outcome and costs of our clinical trials and other development activities;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patient enrollment in and the initiation and completion of clinical trials;</w:t>
      </w:r>
    </w:p>
    <w:p>
      <w:pPr>
        <w:spacing w:after="0" w:line="121" w:lineRule="exact"/>
        <w:rPr>
          <w:rFonts w:ascii="Times New Roman" w:cs="Times New Roman" w:eastAsia="Times New Roman" w:hAnsi="Times New Roman"/>
          <w:sz w:val="20"/>
          <w:szCs w:val="20"/>
          <w:color w:val="auto"/>
        </w:rPr>
      </w:pPr>
    </w:p>
    <w:p>
      <w:pPr>
        <w:ind w:left="660" w:right="400" w:hanging="328"/>
        <w:spacing w:after="0" w:line="269"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receipt and terms of any marketing approvals from applicable regulatory authorities including the FDA and non-U.S. regulators;</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of any required post-marketing approval commitments to applicable regulatory authorities;</w:t>
      </w:r>
    </w:p>
    <w:p>
      <w:pPr>
        <w:spacing w:after="0" w:line="107" w:lineRule="exact"/>
        <w:rPr>
          <w:rFonts w:ascii="Times New Roman" w:cs="Times New Roman" w:eastAsia="Times New Roman" w:hAnsi="Times New Roman"/>
          <w:sz w:val="20"/>
          <w:szCs w:val="20"/>
          <w:color w:val="auto"/>
        </w:rPr>
      </w:pPr>
    </w:p>
    <w:p>
      <w:pPr>
        <w:ind w:left="660" w:right="180" w:hanging="328"/>
        <w:spacing w:after="0" w:line="283"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clinical and commercial manufacturing capabilities or making arrangements with third-party manufacturers in order to ensure that we or our third-party manufacturers are able to make product successfully;</w:t>
      </w:r>
    </w:p>
    <w:p>
      <w:pPr>
        <w:spacing w:after="0" w:line="51" w:lineRule="exact"/>
        <w:rPr>
          <w:rFonts w:ascii="Times New Roman" w:cs="Times New Roman" w:eastAsia="Times New Roman" w:hAnsi="Times New Roman"/>
          <w:sz w:val="20"/>
          <w:szCs w:val="20"/>
          <w:color w:val="auto"/>
        </w:rPr>
      </w:pPr>
    </w:p>
    <w:p>
      <w:pPr>
        <w:ind w:left="660" w:right="60" w:hanging="328"/>
        <w:spacing w:after="0" w:line="269"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and timely delivery of clinical-grade and commercial-grade drug formulations that can be used in our clinical trials and for commercial launch;</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maintaining, defending and enforcing patent claims and other intellectual property rights;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and changing government regulation;</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commercial sales of our product candidates, if and when approved, whether alone or in collaboration with others; and</w:t>
      </w:r>
    </w:p>
    <w:p>
      <w:pPr>
        <w:spacing w:after="0" w:line="121" w:lineRule="exact"/>
        <w:rPr>
          <w:rFonts w:ascii="Times New Roman" w:cs="Times New Roman" w:eastAsia="Times New Roman" w:hAnsi="Times New Roman"/>
          <w:sz w:val="20"/>
          <w:szCs w:val="20"/>
          <w:color w:val="auto"/>
        </w:rPr>
      </w:pPr>
    </w:p>
    <w:p>
      <w:pPr>
        <w:ind w:left="660" w:right="860" w:hanging="328"/>
        <w:spacing w:after="0" w:line="269"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 continued acceptable tolerability profile of our product candidates following approval, if any, of our product candidates.</w:t>
      </w:r>
    </w:p>
    <w:p>
      <w:pPr>
        <w:spacing w:after="0" w:line="17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Any changes in the outcome of any of these variables with respect to the development of our product candidates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benefits, travel and stock-based compensation expense for personnel in executive, business development, finance, human resources, legal, information technology, pre-commercial and support personnel functions. General and administrative expenses also include direct and allocated facility-related costs as well as insurance costs and professional fees for legal, patent, consulting, investor and public relations, accounting and audit services.</w:t>
      </w:r>
    </w:p>
    <w:p>
      <w:pPr>
        <w:spacing w:after="0" w:line="186" w:lineRule="exact"/>
        <w:rPr>
          <w:sz w:val="20"/>
          <w:szCs w:val="20"/>
          <w:color w:val="auto"/>
        </w:rPr>
      </w:pPr>
    </w:p>
    <w:p>
      <w:pPr>
        <w:ind w:left="40" w:right="220"/>
        <w:spacing w:after="0" w:line="254" w:lineRule="auto"/>
        <w:rPr>
          <w:sz w:val="20"/>
          <w:szCs w:val="20"/>
          <w:color w:val="auto"/>
        </w:rPr>
      </w:pPr>
      <w:r>
        <w:rPr>
          <w:rFonts w:ascii="Times New Roman" w:cs="Times New Roman" w:eastAsia="Times New Roman" w:hAnsi="Times New Roman"/>
          <w:sz w:val="20"/>
          <w:szCs w:val="20"/>
          <w:color w:val="auto"/>
        </w:rPr>
        <w:t>We anticipate that our general and administrative expenses will increase in the future as we support continued development of our product candidates and prepare for potential commercialization activities. 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233" w:lineRule="exact"/>
        <w:rPr>
          <w:sz w:val="20"/>
          <w:szCs w:val="20"/>
          <w:color w:val="auto"/>
        </w:rPr>
      </w:pPr>
    </w:p>
    <w:p>
      <w:pPr>
        <w:ind w:left="40" w:right="60"/>
        <w:spacing w:after="0" w:line="269" w:lineRule="auto"/>
        <w:rPr>
          <w:sz w:val="20"/>
          <w:szCs w:val="20"/>
          <w:color w:val="auto"/>
        </w:rPr>
      </w:pPr>
      <w:r>
        <w:rPr>
          <w:rFonts w:ascii="Times New Roman" w:cs="Times New Roman" w:eastAsia="Times New Roman" w:hAnsi="Times New Roman"/>
          <w:sz w:val="20"/>
          <w:szCs w:val="20"/>
          <w:color w:val="auto"/>
        </w:rPr>
        <w:t>Other income (expense) consists primarily of interest income earned on our cash equivalents and investment balances, sublease income, and realized and unrealized foreign currency transaction gains and losses.</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three months ended March 31, 2026 and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three months ended March 31, 2026 and 2025:</w:t>
      </w:r>
    </w:p>
    <w:p>
      <w:pPr>
        <w:spacing w:after="0" w:line="6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20"/>
          <w:szCs w:val="20"/>
          <w:color w:val="auto"/>
        </w:rPr>
        <w:t>Three Months Ended</w:t>
      </w:r>
    </w:p>
    <w:p>
      <w:pPr>
        <w:spacing w:after="0" w:line="22"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20"/>
          <w:szCs w:val="20"/>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26035</wp:posOffset>
            </wp:positionV>
            <wp:extent cx="19202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Change</w:t>
            </w:r>
          </w:p>
        </w:tc>
      </w:tr>
      <w:tr>
        <w:trPr>
          <w:trHeight w:val="34"/>
        </w:trPr>
        <w:tc>
          <w:tcPr>
            <w:tcW w:w="6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6"/>
        </w:trPr>
        <w:tc>
          <w:tcPr>
            <w:tcW w:w="6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 thousands)</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5"/>
        </w:trPr>
        <w:tc>
          <w:tcPr>
            <w:tcW w:w="68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7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License revenue</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(70,000)</w:t>
            </w:r>
          </w:p>
        </w:tc>
      </w:tr>
      <w:tr>
        <w:trPr>
          <w:trHeight w:val="263"/>
        </w:trPr>
        <w:tc>
          <w:tcPr>
            <w:tcW w:w="6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Operating expenses: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5"/>
        </w:trPr>
        <w:tc>
          <w:tcPr>
            <w:tcW w:w="6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7"/>
        </w:trPr>
        <w:tc>
          <w:tcPr>
            <w:tcW w:w="6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10,506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(3,503)</w:t>
            </w:r>
          </w:p>
        </w:tc>
      </w:tr>
      <w:tr>
        <w:trPr>
          <w:trHeight w:val="263"/>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w:t>
            </w:r>
          </w:p>
        </w:tc>
      </w:tr>
      <w:tr>
        <w:trPr>
          <w:trHeight w:val="34"/>
        </w:trPr>
        <w:tc>
          <w:tcPr>
            <w:tcW w:w="68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91"/>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operating expenses</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11,259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15,470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(4,211)</w:t>
            </w:r>
          </w:p>
        </w:tc>
      </w:tr>
      <w:tr>
        <w:trPr>
          <w:trHeight w:val="256"/>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Income (loss) from operations</w:t>
            </w: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(11,259)</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54,530</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(65,789)</w:t>
            </w:r>
          </w:p>
        </w:tc>
      </w:tr>
      <w:tr>
        <w:trPr>
          <w:trHeight w:val="34"/>
        </w:trPr>
        <w:tc>
          <w:tcPr>
            <w:tcW w:w="6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7"/>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income (expense):</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r>
      <w:tr>
        <w:trPr>
          <w:trHeight w:val="263"/>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 income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w:t>
            </w:r>
          </w:p>
        </w:tc>
      </w:tr>
      <w:tr>
        <w:trPr>
          <w:trHeight w:val="34"/>
        </w:trPr>
        <w:tc>
          <w:tcPr>
            <w:tcW w:w="6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97"/>
        </w:trPr>
        <w:tc>
          <w:tcPr>
            <w:tcW w:w="6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Other (expense) income</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1,417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(217)</w:t>
            </w:r>
          </w:p>
        </w:tc>
      </w:tr>
      <w:tr>
        <w:trPr>
          <w:trHeight w:val="256"/>
        </w:trPr>
        <w:tc>
          <w:tcPr>
            <w:tcW w:w="6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other income (expense), net</w:t>
            </w: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2,223</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2,012</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w:t>
            </w:r>
          </w:p>
        </w:tc>
      </w:tr>
      <w:tr>
        <w:trPr>
          <w:trHeight w:val="35"/>
        </w:trPr>
        <w:tc>
          <w:tcPr>
            <w:tcW w:w="68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315"/>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 (loss)</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(9,036)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56,542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(65,578)</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 revenue was recorded for the three months ended March 31, 2026 compared to $70.0 million for the three months ended March 31, 2025.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decrease was a result of the upfront payment we received from Servier in the first quarter of 2025 under the Servier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2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Research and development expenses were $7.0 million for the three months ended March 31, 2026, compared to $10.5 million for the three months ended March 31, 2025. The following table summarizes our research and development expenses for the three months ended March 31, 2026 and 2025:</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00" w:type="dxa"/>
            <w:vAlign w:val="bottom"/>
            <w:gridSpan w:val="5"/>
          </w:tcPr>
          <w:p>
            <w:pPr>
              <w:jc w:val="center"/>
              <w:ind w:right="420"/>
              <w:spacing w:after="0"/>
              <w:rPr>
                <w:sz w:val="20"/>
                <w:szCs w:val="20"/>
                <w:color w:val="auto"/>
              </w:rPr>
            </w:pPr>
            <w:r>
              <w:rPr>
                <w:rFonts w:ascii="Times New Roman" w:cs="Times New Roman" w:eastAsia="Times New Roman" w:hAnsi="Times New Roman"/>
                <w:sz w:val="20"/>
                <w:szCs w:val="20"/>
                <w:color w:val="auto"/>
                <w:w w:val="99"/>
              </w:rPr>
              <w:t>Three Months Ended</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8"/>
        </w:trPr>
        <w:tc>
          <w:tcPr>
            <w:tcW w:w="6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00" w:type="dxa"/>
            <w:vAlign w:val="bottom"/>
            <w:gridSpan w:val="5"/>
          </w:tcPr>
          <w:p>
            <w:pPr>
              <w:jc w:val="center"/>
              <w:ind w:right="420"/>
              <w:spacing w:after="0"/>
              <w:rPr>
                <w:sz w:val="20"/>
                <w:szCs w:val="20"/>
                <w:color w:val="auto"/>
              </w:rPr>
            </w:pPr>
            <w:r>
              <w:rPr>
                <w:rFonts w:ascii="Times New Roman" w:cs="Times New Roman" w:eastAsia="Times New Roman" w:hAnsi="Times New Roman"/>
                <w:sz w:val="20"/>
                <w:szCs w:val="20"/>
                <w:color w:val="auto"/>
                <w:w w:val="97"/>
              </w:rPr>
              <w:t>March 31,</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4"/>
        </w:trPr>
        <w:tc>
          <w:tcPr>
            <w:tcW w:w="6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0"/>
        </w:trPr>
        <w:tc>
          <w:tcPr>
            <w:tcW w:w="6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Change</w:t>
            </w:r>
          </w:p>
        </w:tc>
      </w:tr>
      <w:tr>
        <w:trPr>
          <w:trHeight w:val="35"/>
        </w:trPr>
        <w:tc>
          <w:tcPr>
            <w:tcW w:w="6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6"/>
        </w:trPr>
        <w:tc>
          <w:tcPr>
            <w:tcW w:w="6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 thousands)</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5"/>
        </w:trPr>
        <w:tc>
          <w:tcPr>
            <w:tcW w:w="68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7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Silevertinib (NSCLC) research and development expenses</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(2,416)</w:t>
            </w:r>
          </w:p>
        </w:tc>
      </w:tr>
      <w:tr>
        <w:trPr>
          <w:trHeight w:val="263"/>
        </w:trPr>
        <w:tc>
          <w:tcPr>
            <w:tcW w:w="6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Silevertinib (GBM) research and development expenses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1,368</w:t>
            </w:r>
          </w:p>
        </w:tc>
      </w:tr>
      <w:tr>
        <w:trPr>
          <w:trHeight w:val="35"/>
        </w:trPr>
        <w:tc>
          <w:tcPr>
            <w:tcW w:w="6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7"/>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BDTX-4933 research and development expenses</w:t>
            </w:r>
          </w:p>
        </w:tc>
        <w:tc>
          <w:tcPr>
            <w:tcW w:w="3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(1,018)</w:t>
            </w:r>
          </w:p>
        </w:tc>
      </w:tr>
      <w:tr>
        <w:trPr>
          <w:trHeight w:val="263"/>
        </w:trPr>
        <w:tc>
          <w:tcPr>
            <w:tcW w:w="6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research programs and platform development expenses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w:t>
            </w:r>
          </w:p>
        </w:tc>
      </w:tr>
      <w:tr>
        <w:trPr>
          <w:trHeight w:val="35"/>
        </w:trPr>
        <w:tc>
          <w:tcPr>
            <w:tcW w:w="6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7"/>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Personnel expenses</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2,337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2,708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(371)</w:t>
            </w:r>
          </w:p>
        </w:tc>
      </w:tr>
      <w:tr>
        <w:trPr>
          <w:trHeight w:val="263"/>
        </w:trPr>
        <w:tc>
          <w:tcPr>
            <w:tcW w:w="6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Allocated facility expenses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w:t>
            </w:r>
          </w:p>
        </w:tc>
      </w:tr>
      <w:tr>
        <w:trPr>
          <w:trHeight w:val="35"/>
        </w:trPr>
        <w:tc>
          <w:tcPr>
            <w:tcW w:w="6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97"/>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expenses</w:t>
            </w: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6"/>
        </w:trPr>
        <w:tc>
          <w:tcPr>
            <w:tcW w:w="6800" w:type="dxa"/>
            <w:vAlign w:val="bottom"/>
          </w:tcPr>
          <w:p>
            <w:pPr>
              <w:spacing w:after="0"/>
              <w:rPr>
                <w:sz w:val="22"/>
                <w:szCs w:val="22"/>
                <w:color w:val="auto"/>
              </w:rPr>
            </w:pPr>
          </w:p>
        </w:tc>
        <w:tc>
          <w:tcPr>
            <w:tcW w:w="32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7,003</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10,506</w:t>
            </w:r>
          </w:p>
        </w:tc>
        <w:tc>
          <w:tcPr>
            <w:tcW w:w="100" w:type="dxa"/>
            <w:vAlign w:val="bottom"/>
          </w:tcPr>
          <w:p>
            <w:pPr>
              <w:spacing w:after="0"/>
              <w:rPr>
                <w:sz w:val="22"/>
                <w:szCs w:val="22"/>
                <w:color w:val="auto"/>
              </w:rPr>
            </w:pPr>
          </w:p>
        </w:tc>
        <w:tc>
          <w:tcPr>
            <w:tcW w:w="2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(3,503)</w:t>
            </w:r>
          </w:p>
        </w:tc>
      </w:tr>
      <w:tr>
        <w:trPr>
          <w:trHeight w:val="35"/>
        </w:trPr>
        <w:tc>
          <w:tcPr>
            <w:tcW w:w="6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20"/>
          <w:szCs w:val="20"/>
          <w:color w:val="auto"/>
        </w:rPr>
        <w:t xml:space="preserve">The decrease of $3.5 million for the three months ended March 31, 2026 was primarily due to a decrease of $2.4 million related to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progression of our Phase 2 clinical trial for </w:t>
      </w:r>
      <w:r>
        <w:rPr>
          <w:rFonts w:ascii="Times New Roman" w:cs="Times New Roman" w:eastAsia="Times New Roman" w:hAnsi="Times New Roman"/>
          <w:sz w:val="19"/>
          <w:szCs w:val="19"/>
          <w:color w:val="auto"/>
        </w:rPr>
        <w:t>silevertinib in NSCLC and a decrease of $1.0 million related the deprioritization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BDTX-4933 program and subsequent licensing to Servier, partially offset by an increase of $1.4 million for silevertinib GBM due to the initiation of a Phase 2 GBM trial, compared to the three months ended March 31, 2025. In addition, personnel expenses decreased by $0.4 million as we continue to capitalize on workforce efficiencies and focus on advancing and optimizing development for silevertinib, and facilities expenses decreased by $0.4 million due to the sublease of the remaining floor of our Cambridge, Massachusetts office space in December 2025.</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233"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General and administrative expenses were $4.3 million for the three months ended March 31, 2026 compared to $5.0 million for the three months ended March 31, 2025. The decrease was primarily a result of continued operational efficiencies.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income (expense)</w:t>
      </w:r>
    </w:p>
    <w:p>
      <w:pPr>
        <w:spacing w:after="0" w:line="23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Other income was $2.2 million for the three months ended March 31, 2026, compared to $2.0 million for the three months ended March 31, 2025. The increase was primarily attributable to an increase in interest income in 2026 compared to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2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Since our inception, we have not generated any product revenue and do not expect to generate any revenue from the sale of products in the foreseeable future. We have funded our operations to date primarily with proceeds from the sale of our common and preferred stock, as well as proceeds from licensing of intellectual property. We have incurred significant operating losses and negative cash flows from our operations. We have not yet commercialized any of our product candidates, and we do not expect to generate revenue from sales of any product candidates for several years, if at all.</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On February 3, 2020, we completed an initial public offering (IPO) of 12,174,263 shares of our common stock, including the exercise in full by the underwriters of their option to purchase up to 1,587,947 additional shares of our common stock, for aggregate gross proceeds of $231.3 million. We received $212.1 million in net proceeds after deducting underwriting discounts and commissions and other offering expenses payable by us. Through March 31, 2026, we had received net cash proceeds of $200.6 million from previous sales of our preferred stock.</w:t>
      </w: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On November 13, 2025, we filed a new shelf registration statement on Form S-3 (the New Shelf Registration Statement) with the SEC, which covers the offering, issuance and sale of our common stock, preferred stock, debt securities, warrants and/or units of any combination thereof up to a maximum price of $500.0 million, including up to $150.0 million of shares of our common stock (the Shares) that may be offered, issued and sold under an Open Market Sale Agreement</w:t>
      </w:r>
      <w:r>
        <w:rPr>
          <w:rFonts w:ascii="Times New Roman" w:cs="Times New Roman" w:eastAsia="Times New Roman" w:hAnsi="Times New Roman"/>
          <w:sz w:val="11"/>
          <w:szCs w:val="11"/>
          <w:color w:val="auto"/>
        </w:rPr>
        <w:t>SM</w:t>
      </w:r>
      <w:r>
        <w:rPr>
          <w:rFonts w:ascii="Times New Roman" w:cs="Times New Roman" w:eastAsia="Times New Roman" w:hAnsi="Times New Roman"/>
          <w:sz w:val="19"/>
          <w:szCs w:val="19"/>
          <w:color w:val="auto"/>
        </w:rPr>
        <w:t xml:space="preserve"> (the Sales Agreement) previously entered into with Jefferies LLC (Jefferies), as sales agent, on November 13, 2022 (the ATM Program). The New Registration Statement was filed to replace our prior shelf registration statement on Form S-3 (the Prior Shelf Registration Statement), originally filed with the SEC on November 14, 2022 and declared effective on November 22, 2022, which was set to expire on November 22, 2025, in accordance with applicable SEC regulations. The New Shelf Registration Statement became effective on December 3, 2025, and in accordance with Rule 415(a)(6) under the Securities Act, the offering of securities under the Prior Shelf Registration Statement is deemed terminated as of the date of effectiveness of the New Shelf Registration Statement. Any Shares will be sold pursuant to the New Shelf Registration Statement and the sales agreement prospectus filed therewith. Upon delivery of a placement notice and subject to the terms and conditions of the Sales Agreement, Jefferies may sell the Shares by any method permitted by law deemed to be an “at the market offering” as defined in Rule 415(a)(4) promulgated under the Securities Act. We may sell the Shares in amounts and at times to be determined by us from time to time subject to the terms and conditions of the Sales Agreement, but we have no obligation to sell any Shares under the Sales Agreement. We or Jefferies may suspend or terminate the offering of Shares upon notice to the other party and subject to other conditions. As of March 31, 2026, we sold 4,490,853 shares of our common stock pursuant to the ATM Program, resulting in gross proceeds to us of approximately $25.0 million ($24.5 million net of offering costs).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On July 5, 2023, we completed an underwritten public offering (the Follow-on Offering) of 15,000,000 shares of our common stock at a price to the public of $5.00 per share. The aggregate net proceeds from the Follow-on Offering totaled approximately $71.6 million after deducting underwriting discounts and commissions, as well as other offering expenses. The underwriters did not exercise any portion of their 30-day overallotment option to purchase up to an additional 2,250,000 shares of our common stock at the public offering price, which expired on July 29, 2023, and therefore no additional proceeds from the Follow-on Offering were received.</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 xml:space="preserve">On March 18, 2025, we entered into the Servier Agreement with Servier for BDTX-4933, a small molecule designed to address unmet medical needs in RAF/RAS-mutant solid tumors, pursuant to which we granted to Servier a global license to develop and commercialize BDTX-4933. Under the terms of the Servier Agreement, Servier will lead the development activities and the global commercialization of BDTX-4933 across multiple indications, including NSCLC, with potential applications in other solid tumors. In consideration for the license granted to Servier, we received an upfront payment of $70.0 million in March 2025 and will be eligible to receive up to $710.0 million in development and commercial sales milestone payments, along with tiered royalties based on global net sales. See Note 14, </w:t>
      </w:r>
      <w:r>
        <w:rPr>
          <w:rFonts w:ascii="Times New Roman" w:cs="Times New Roman" w:eastAsia="Times New Roman" w:hAnsi="Times New Roman"/>
          <w:sz w:val="19"/>
          <w:szCs w:val="19"/>
          <w:i w:val="1"/>
          <w:iCs w:val="1"/>
          <w:color w:val="auto"/>
        </w:rPr>
        <w:t>License Revenue</w:t>
      </w:r>
      <w:r>
        <w:rPr>
          <w:rFonts w:ascii="Times New Roman" w:cs="Times New Roman" w:eastAsia="Times New Roman" w:hAnsi="Times New Roman"/>
          <w:sz w:val="19"/>
          <w:szCs w:val="19"/>
          <w:color w:val="auto"/>
        </w:rPr>
        <w:t>, to the condensed consolidated financial statements included elsewhere in this Quarterly Report for additional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March 31, 2026, we had cash, cash equivalents and investments of $118.3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sources and uses of cash for each of the periods presented (in thousands):</w:t>
      </w:r>
    </w:p>
    <w:p>
      <w:pPr>
        <w:spacing w:after="0" w:line="67"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20"/>
          <w:szCs w:val="20"/>
          <w:color w:val="auto"/>
        </w:rPr>
        <w:t>Three Months Ended</w:t>
      </w:r>
    </w:p>
    <w:p>
      <w:pPr>
        <w:spacing w:after="0" w:line="22"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20"/>
          <w:szCs w:val="20"/>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26035</wp:posOffset>
            </wp:positionV>
            <wp:extent cx="19291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8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2026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2025</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4840" w:type="dxa"/>
            <w:vAlign w:val="bottom"/>
            <w:tcBorders>
              <w:bottom w:val="single" w:sz="8" w:color="CCEEFF"/>
            </w:tcBorders>
          </w:tcPr>
          <w:p>
            <w:pPr>
              <w:spacing w:after="0"/>
              <w:rPr>
                <w:sz w:val="3"/>
                <w:szCs w:val="3"/>
                <w:color w:val="auto"/>
              </w:rPr>
            </w:pPr>
          </w:p>
        </w:tc>
        <w:tc>
          <w:tcPr>
            <w:tcW w:w="30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provided by (used in) operating activities</w:t>
            </w:r>
          </w:p>
        </w:tc>
        <w:tc>
          <w:tcPr>
            <w:tcW w:w="3320" w:type="dxa"/>
            <w:vAlign w:val="bottom"/>
            <w:tcBorders>
              <w:bottom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(10,232)</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53,410</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Cash provided by (used in) investing activities</w:t>
            </w:r>
          </w:p>
        </w:tc>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19,500</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8,547</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4840" w:type="dxa"/>
            <w:vAlign w:val="bottom"/>
          </w:tcPr>
          <w:p>
            <w:pPr>
              <w:spacing w:after="0"/>
              <w:rPr>
                <w:sz w:val="3"/>
                <w:szCs w:val="3"/>
                <w:color w:val="auto"/>
              </w:rPr>
            </w:pPr>
          </w:p>
        </w:tc>
        <w:tc>
          <w:tcPr>
            <w:tcW w:w="3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provided by (used in) financing activities</w:t>
            </w:r>
          </w:p>
        </w:tc>
        <w:tc>
          <w:tcPr>
            <w:tcW w:w="30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1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3000" w:type="dxa"/>
            <w:vAlign w:val="bottom"/>
          </w:tcPr>
          <w:p>
            <w:pPr>
              <w:spacing w:after="0"/>
              <w:rPr>
                <w:sz w:val="22"/>
                <w:szCs w:val="22"/>
                <w:color w:val="auto"/>
              </w:rPr>
            </w:pPr>
          </w:p>
        </w:tc>
        <w:tc>
          <w:tcPr>
            <w:tcW w:w="32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9,083</w:t>
            </w:r>
          </w:p>
        </w:tc>
        <w:tc>
          <w:tcPr>
            <w:tcW w:w="180" w:type="dxa"/>
            <w:vAlign w:val="bottom"/>
          </w:tcPr>
          <w:p>
            <w:pPr>
              <w:spacing w:after="0"/>
              <w:rPr>
                <w:sz w:val="22"/>
                <w:szCs w:val="22"/>
                <w:color w:val="auto"/>
              </w:rPr>
            </w:pPr>
          </w:p>
        </w:tc>
        <w:tc>
          <w:tcPr>
            <w:tcW w:w="32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61,989</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4840" w:type="dxa"/>
            <w:vAlign w:val="bottom"/>
          </w:tcPr>
          <w:p>
            <w:pPr>
              <w:spacing w:after="0"/>
              <w:rPr>
                <w:sz w:val="3"/>
                <w:szCs w:val="3"/>
                <w:color w:val="auto"/>
              </w:rPr>
            </w:pPr>
          </w:p>
        </w:tc>
        <w:tc>
          <w:tcPr>
            <w:tcW w:w="3000" w:type="dxa"/>
            <w:vAlign w:val="bottom"/>
            <w:vMerge w:val="restart"/>
          </w:tcPr>
          <w:p>
            <w:pPr>
              <w:jc w:val="right"/>
              <w:ind w:right="2021"/>
              <w:spacing w:after="0"/>
              <w:rPr>
                <w:sz w:val="20"/>
                <w:szCs w:val="20"/>
                <w:color w:val="auto"/>
              </w:rPr>
            </w:pPr>
            <w:r>
              <w:rPr>
                <w:rFonts w:ascii="Times New Roman" w:cs="Times New Roman" w:eastAsia="Times New Roman" w:hAnsi="Times New Roman"/>
                <w:sz w:val="20"/>
                <w:szCs w:val="20"/>
                <w:color w:val="auto"/>
              </w:rPr>
              <w:t>29</w:t>
            </w: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7"/>
        </w:trPr>
        <w:tc>
          <w:tcPr>
            <w:tcW w:w="48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84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3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0"/>
          <w:szCs w:val="20"/>
          <w:color w:val="auto"/>
        </w:rPr>
        <w:t>During the three months ended March 31, 2026, we had cash used in operating activities of $10.2 million, primarily resulting from our net loss of $9.0 million, along with changes in our operating assets and liabilities of $3.1 million, partially offset by $1.9 million of non-cash items.</w:t>
      </w:r>
    </w:p>
    <w:p>
      <w:pPr>
        <w:spacing w:after="0" w:line="168"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During the three months ended March 31, 2025, we used cash provided by operating activities of $53.4 million, primarily resulting from our net income of $56.5 million, partially offset by the non-cash charge related to stock compensation expense of $1.7 million.</w:t>
      </w:r>
    </w:p>
    <w:p>
      <w:pPr>
        <w:spacing w:after="0" w:line="160"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Changes in accounts payable and accrued expenses in all periods were generally due to the advancement of our product candidate and the timing of vendor invoicing and payments.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20"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During the three months ended March 31, 2026, we had cash provided by investing activities of $19.5 million primarily from the sales and maturities of investments.</w:t>
      </w:r>
    </w:p>
    <w:p>
      <w:pPr>
        <w:spacing w:after="0" w:line="160"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During the three months ended March 31, 2025, we had cash provided by investing activities of $8.5 million primarily from the sales and maturities of investments, netted against our purchase of investments.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220" w:lineRule="exact"/>
        <w:rPr>
          <w:sz w:val="20"/>
          <w:szCs w:val="20"/>
          <w:color w:val="auto"/>
        </w:rPr>
      </w:pPr>
    </w:p>
    <w:p>
      <w:pPr>
        <w:ind w:right="880"/>
        <w:spacing w:after="0" w:line="283" w:lineRule="auto"/>
        <w:rPr>
          <w:sz w:val="20"/>
          <w:szCs w:val="20"/>
          <w:color w:val="auto"/>
        </w:rPr>
      </w:pPr>
      <w:r>
        <w:rPr>
          <w:rFonts w:ascii="Times New Roman" w:cs="Times New Roman" w:eastAsia="Times New Roman" w:hAnsi="Times New Roman"/>
          <w:sz w:val="20"/>
          <w:szCs w:val="20"/>
          <w:color w:val="auto"/>
        </w:rPr>
        <w:t>During the three months ended March 31, 2026, we had cash used in financing activities of $0.2 million, resulting from the shares surrendered to cover taxes from a restricted stock unit vesting.</w:t>
      </w:r>
    </w:p>
    <w:p>
      <w:pPr>
        <w:spacing w:after="0" w:line="1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During the three months ended March 31, 2025, we had cash provided by financing activities of less than $0.1 million consisting of proceeds from the participation in the employee stock purchase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pacing w:after="0" w:line="22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9"/>
          <w:szCs w:val="19"/>
          <w:color w:val="auto"/>
        </w:rPr>
        <w:t>We expect our expenses to increase substantially in connection with our ongoing activities, particularly as we advance clinical trials of silevertinib. In addition, we expect to incur additional costs associated with operating as a public company, including significant legal, accounting, investor relations and other expenses. The timing and amount of our operating expenditures will depend largely on our ability to:</w:t>
      </w:r>
    </w:p>
    <w:p>
      <w:pPr>
        <w:spacing w:after="0" w:line="56"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silevertinib through clinical trials, either independently or with a partner;</w:t>
      </w:r>
    </w:p>
    <w:p>
      <w:pPr>
        <w:spacing w:after="0" w:line="121" w:lineRule="exact"/>
        <w:rPr>
          <w:rFonts w:ascii="Times New Roman" w:cs="Times New Roman" w:eastAsia="Times New Roman" w:hAnsi="Times New Roman"/>
          <w:sz w:val="20"/>
          <w:szCs w:val="20"/>
          <w:color w:val="auto"/>
        </w:rPr>
      </w:pPr>
    </w:p>
    <w:p>
      <w:pPr>
        <w:ind w:left="660" w:right="940" w:hanging="328"/>
        <w:spacing w:after="0" w:line="269"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manufacture, or have manufactured on our behalf, our drug material and develop processes for late stage and commercial manufacturing;</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regulatory approvals for any product candidates that successfully complete clinical trials;</w:t>
      </w:r>
    </w:p>
    <w:p>
      <w:pPr>
        <w:spacing w:after="0" w:line="107" w:lineRule="exact"/>
        <w:rPr>
          <w:rFonts w:ascii="Times New Roman" w:cs="Times New Roman" w:eastAsia="Times New Roman" w:hAnsi="Times New Roman"/>
          <w:sz w:val="20"/>
          <w:szCs w:val="20"/>
          <w:color w:val="auto"/>
        </w:rPr>
      </w:pPr>
    </w:p>
    <w:p>
      <w:pPr>
        <w:ind w:left="660" w:right="300" w:hanging="328"/>
        <w:spacing w:after="0" w:line="283"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sales, marketing, medical affairs and distribution infrastructure to commercialize any product candidates for which we may obtain marketing approval and intend to commercialize on our own; and</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maintain, expand, enforce and protect our intellectual property portfolio.</w:t>
      </w:r>
    </w:p>
    <w:p>
      <w:pPr>
        <w:spacing w:after="0" w:line="21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As of March 31, 2026, we had cash, cash equivalents and investments of $118.3 million. We believe that our existing cash, cash equivalents and investments will enable us to fund our operating expenses and capital expenditure requirements into the second half of 2028. We have based this estimate on assumptions that may prove to be wrong, and we could utilize our available capital resources sooner than we expect. We anticipate that we will require additional capital as we seek regulatory approval of our product candidates and if we choose to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w:t>
      </w:r>
    </w:p>
    <w:p>
      <w:pPr>
        <w:sectPr>
          <w:pgSz w:w="11900" w:h="16838" w:orient="portrait"/>
          <w:cols w:equalWidth="0" w:num="1">
            <w:col w:w="11180"/>
          </w:cols>
          <w:pgMar w:left="320" w:top="360" w:right="39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research, development and commercialization of product candidates, we are unable to predict the timing or amount of increased expenses or when or if we will be able to achieve or maintain profitability. If we fail to become profitable or are unable to sustain profitability on a continuing basis, then we may be unable to continue our operations at planned levels and be forced to further reduce or terminate our operations. Our future funding requirements will depend on and could increase significantly as a result of many factors, including:</w:t>
      </w:r>
    </w:p>
    <w:p>
      <w:pPr>
        <w:spacing w:after="0" w:line="84"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results and costs of developing our product candidates, and conducting clinical trials;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timing and outcome of regulatory review of our product candidates;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timing and ability to manufacture our product candidates to supply our clinical development efforts and our clinical trials;</w:t>
      </w:r>
    </w:p>
    <w:p>
      <w:pPr>
        <w:spacing w:after="0" w:line="121" w:lineRule="exact"/>
        <w:rPr>
          <w:rFonts w:ascii="Times New Roman" w:cs="Times New Roman" w:eastAsia="Times New Roman" w:hAnsi="Times New Roman"/>
          <w:sz w:val="20"/>
          <w:szCs w:val="20"/>
          <w:color w:val="auto"/>
        </w:rPr>
      </w:pPr>
    </w:p>
    <w:p>
      <w:pPr>
        <w:ind w:left="660" w:right="660" w:hanging="328"/>
        <w:spacing w:after="0" w:line="269"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Servier’s ability to develop and commercialize BDTX-4933 and the receipt of potential milestone and royalty payments from commercial product sales, along with tiered royalties based on global net sales, if any, under the Servier Agreement;</w:t>
      </w:r>
    </w:p>
    <w:p>
      <w:pPr>
        <w:spacing w:after="0" w:line="64" w:lineRule="exact"/>
        <w:rPr>
          <w:rFonts w:ascii="Times New Roman" w:cs="Times New Roman" w:eastAsia="Times New Roman" w:hAnsi="Times New Roman"/>
          <w:sz w:val="20"/>
          <w:szCs w:val="20"/>
          <w:color w:val="auto"/>
        </w:rPr>
      </w:pPr>
    </w:p>
    <w:p>
      <w:pPr>
        <w:ind w:left="660" w:right="540" w:hanging="328"/>
        <w:spacing w:after="0" w:line="283"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future activities, including product sales, medical affairs, marketing, manufacturing and distribution, for any of our product candidates for which we receive marketing approval;</w:t>
      </w:r>
    </w:p>
    <w:p>
      <w:pPr>
        <w:spacing w:after="0" w:line="38" w:lineRule="exact"/>
        <w:rPr>
          <w:rFonts w:ascii="Times New Roman" w:cs="Times New Roman" w:eastAsia="Times New Roman" w:hAnsi="Times New Roman"/>
          <w:sz w:val="20"/>
          <w:szCs w:val="20"/>
          <w:color w:val="auto"/>
        </w:rPr>
      </w:pPr>
    </w:p>
    <w:p>
      <w:pPr>
        <w:ind w:left="660" w:right="60" w:hanging="328"/>
        <w:spacing w:after="0" w:line="261"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receipt of regulatory approval, the costs of commercialization activities for our product candidates, to the extent such costs are not the responsibility of any future collaborators, including the costs and timing of establishing product sales, marketing, distribution and manufacturing capabilities;</w:t>
      </w:r>
    </w:p>
    <w:p>
      <w:pPr>
        <w:spacing w:after="0" w:line="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receive additional non-dilutive funding;</w:t>
      </w:r>
    </w:p>
    <w:p>
      <w:pPr>
        <w:spacing w:after="0" w:line="12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revenue, if any, received from commercial sale of our product candidates, should any of our product candidates receive marketing approval;</w:t>
      </w:r>
    </w:p>
    <w:p>
      <w:pPr>
        <w:spacing w:after="0" w:line="64" w:lineRule="exact"/>
        <w:rPr>
          <w:rFonts w:ascii="Times New Roman" w:cs="Times New Roman" w:eastAsia="Times New Roman" w:hAnsi="Times New Roman"/>
          <w:sz w:val="20"/>
          <w:szCs w:val="20"/>
          <w:color w:val="auto"/>
        </w:rPr>
      </w:pPr>
    </w:p>
    <w:p>
      <w:pPr>
        <w:ind w:left="660" w:right="300" w:hanging="328"/>
        <w:spacing w:after="0" w:line="269"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preparing, filing and prosecuting patent applications, obtaining, maintaining, expanding and enforcing our intellectual property rights and defending intellectual property-related claims;</w:t>
      </w:r>
    </w:p>
    <w:p>
      <w:pPr>
        <w:spacing w:after="0" w:line="64" w:lineRule="exact"/>
        <w:rPr>
          <w:rFonts w:ascii="Times New Roman" w:cs="Times New Roman" w:eastAsia="Times New Roman" w:hAnsi="Times New Roman"/>
          <w:sz w:val="20"/>
          <w:szCs w:val="20"/>
          <w:color w:val="auto"/>
        </w:rPr>
      </w:pPr>
    </w:p>
    <w:p>
      <w:pPr>
        <w:ind w:left="660" w:right="80" w:hanging="328"/>
        <w:spacing w:after="0" w:line="261"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and maintain additional collaborations and license agreements on favorable terms, if at all, and the ability and willingness of our third-party strategic collaborators to undertake research and development activities relating to our product candidates, and the success of those collaborations and license agreements;</w:t>
      </w:r>
    </w:p>
    <w:p>
      <w:pPr>
        <w:spacing w:after="0" w:line="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acquire or in-license other product candidates and technologies;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ongoing costs of operating as a public company; and</w:t>
      </w:r>
    </w:p>
    <w:p>
      <w:pPr>
        <w:spacing w:after="0" w:line="12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macroeconomic, geopolitical, industry and market conditions, including fluctuations in inflationary rates, tariffs, interest rates and supply chain constraints.</w:t>
      </w:r>
    </w:p>
    <w:p>
      <w:pPr>
        <w:spacing w:after="0" w:line="17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As a result, we will need substantial additional funding to support our continuing operations and pursue our growth strategy. Until such time, if ever, as we can generate substantial product revenue from product sales, we expect to finance our operations through a combination of public or private equity offerings, debt financings, collaborations, strategic partnerships and alliances or marketing, distribution or licensing arrangements with third parties or through other sources of financing. In addition, we may seek additional capital due to favorable market conditions or strategic considerations, even if we believe that we have sufficient funds for our current or future operating plans. However, the trading prices for our common stock and for other biopharmaceutical companies have been highly volatile. As a result, we may face difficulties raising capital through sales of our common stock, and such sales may be on unfavorable terms. Similarly, adverse macroeconomic conditions and market volatility resulting from global economic developments, military conflicts, political unrest, inflationary pressures, global health crises, or other factors could materially and adversely affect our ability to consummate an equity or debt financing on favorable terms or at all. We may be unable to raise additional funds or enter into such other agreements or arrangements when needed on favorable terms, or at all.</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To the extent that we raise additional capital through the sale of private or public equity or convertible debt securities, the ownership interest of our stockholders may be materially diluted, and the terms of such securities could include liquidation or other preferences and anti-dilution protections that could adversely affect the rights of our common stockholders. Debt financing and preferred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debt financing may involve significant cash payment obligations and specific financial ratios that may restrict our ability to operate our business would result in fixed payment obligations.</w:t>
      </w:r>
    </w:p>
    <w:p>
      <w:pPr>
        <w:spacing w:after="0" w:line="17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If we raise additional funds through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 obtain capital through arrangements with collaborators on terms unfavorable to us or pursue merger or acquisition strategies, all of which could adversely affect the holdings or the rights of our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our contractual obligations as of March 31, 2026:</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40" w:type="dxa"/>
            <w:vAlign w:val="bottom"/>
            <w:gridSpan w:val="6"/>
          </w:tcPr>
          <w:p>
            <w:pPr>
              <w:jc w:val="center"/>
              <w:ind w:left="941"/>
              <w:spacing w:after="0"/>
              <w:rPr>
                <w:sz w:val="20"/>
                <w:szCs w:val="20"/>
                <w:color w:val="auto"/>
              </w:rPr>
            </w:pPr>
            <w:r>
              <w:rPr>
                <w:rFonts w:ascii="Times New Roman" w:cs="Times New Roman" w:eastAsia="Times New Roman" w:hAnsi="Times New Roman"/>
                <w:sz w:val="20"/>
                <w:szCs w:val="20"/>
                <w:color w:val="auto"/>
                <w:w w:val="98"/>
              </w:rPr>
              <w:t>Payments Due by Period</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34"/>
        </w:trPr>
        <w:tc>
          <w:tcPr>
            <w:tcW w:w="38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7"/>
        </w:trPr>
        <w:tc>
          <w:tcPr>
            <w:tcW w:w="3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40"/>
              <w:spacing w:after="0" w:line="228" w:lineRule="exact"/>
              <w:rPr>
                <w:sz w:val="20"/>
                <w:szCs w:val="20"/>
                <w:color w:val="auto"/>
              </w:rPr>
            </w:pPr>
            <w:r>
              <w:rPr>
                <w:rFonts w:ascii="Times New Roman" w:cs="Times New Roman" w:eastAsia="Times New Roman" w:hAnsi="Times New Roman"/>
                <w:sz w:val="20"/>
                <w:szCs w:val="20"/>
                <w:color w:val="auto"/>
                <w:w w:val="98"/>
              </w:rPr>
              <w:t>More than 5</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8"/>
        </w:trPr>
        <w:tc>
          <w:tcPr>
            <w:tcW w:w="3840" w:type="dxa"/>
            <w:vAlign w:val="bottom"/>
          </w:tcPr>
          <w:p>
            <w:pPr>
              <w:spacing w:after="0"/>
              <w:rPr>
                <w:sz w:val="22"/>
                <w:szCs w:val="22"/>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Less than 1 Year</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 to 3 Years</w:t>
            </w:r>
          </w:p>
        </w:tc>
        <w:tc>
          <w:tcPr>
            <w:tcW w:w="140" w:type="dxa"/>
            <w:vAlign w:val="bottom"/>
          </w:tcPr>
          <w:p>
            <w:pPr>
              <w:spacing w:after="0"/>
              <w:rPr>
                <w:sz w:val="22"/>
                <w:szCs w:val="22"/>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6"/>
              </w:rPr>
              <w:t>3 to 5 Years</w:t>
            </w:r>
          </w:p>
        </w:tc>
        <w:tc>
          <w:tcPr>
            <w:tcW w:w="220" w:type="dxa"/>
            <w:vAlign w:val="bottom"/>
          </w:tcPr>
          <w:p>
            <w:pPr>
              <w:spacing w:after="0"/>
              <w:rPr>
                <w:sz w:val="22"/>
                <w:szCs w:val="22"/>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color w:val="auto"/>
                <w:w w:val="94"/>
              </w:rPr>
              <w:t>Years</w:t>
            </w:r>
          </w:p>
        </w:tc>
        <w:tc>
          <w:tcPr>
            <w:tcW w:w="300" w:type="dxa"/>
            <w:vAlign w:val="bottom"/>
          </w:tcPr>
          <w:p>
            <w:pPr>
              <w:spacing w:after="0"/>
              <w:rPr>
                <w:sz w:val="22"/>
                <w:szCs w:val="22"/>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Total</w:t>
            </w:r>
          </w:p>
        </w:tc>
      </w:tr>
      <w:tr>
        <w:trPr>
          <w:trHeight w:val="35"/>
        </w:trPr>
        <w:tc>
          <w:tcPr>
            <w:tcW w:w="38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56"/>
        </w:trPr>
        <w:tc>
          <w:tcPr>
            <w:tcW w:w="3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w w:val="98"/>
              </w:rPr>
              <w:t>(in thousands)</w:t>
            </w: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35"/>
        </w:trPr>
        <w:tc>
          <w:tcPr>
            <w:tcW w:w="38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9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Property leases - commenced</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3,460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8,650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4,432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3,891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20,433</w:t>
            </w:r>
          </w:p>
        </w:tc>
      </w:tr>
      <w:tr>
        <w:trPr>
          <w:trHeight w:val="256"/>
        </w:trPr>
        <w:tc>
          <w:tcPr>
            <w:tcW w:w="3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w:t>
            </w: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3,460</w:t>
            </w:r>
          </w:p>
        </w:tc>
        <w:tc>
          <w:tcPr>
            <w:tcW w:w="8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8,650</w:t>
            </w:r>
          </w:p>
        </w:tc>
        <w:tc>
          <w:tcPr>
            <w:tcW w:w="8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4,432</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3,891</w:t>
            </w:r>
          </w:p>
        </w:tc>
        <w:tc>
          <w:tcPr>
            <w:tcW w:w="120" w:type="dxa"/>
            <w:vAlign w:val="bottom"/>
          </w:tcPr>
          <w:p>
            <w:pPr>
              <w:spacing w:after="0"/>
              <w:rPr>
                <w:sz w:val="22"/>
                <w:szCs w:val="22"/>
                <w:color w:val="auto"/>
              </w:rPr>
            </w:pPr>
          </w:p>
        </w:tc>
        <w:tc>
          <w:tcPr>
            <w:tcW w:w="30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20,433</w:t>
            </w:r>
          </w:p>
        </w:tc>
      </w:tr>
      <w:tr>
        <w:trPr>
          <w:trHeight w:val="35"/>
        </w:trPr>
        <w:tc>
          <w:tcPr>
            <w:tcW w:w="38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
        </w:trPr>
        <w:tc>
          <w:tcPr>
            <w:tcW w:w="3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leases – commenced</w:t>
      </w:r>
    </w:p>
    <w:p>
      <w:pPr>
        <w:spacing w:after="0" w:line="233"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The amounts reported for property leases represent future minimum lease payments under non-cancelable operating leases in effect as of March 31, 2026. The minimum lease payments do not include common area maintenance charges or real estate taxes.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contractual obligations</w:t>
      </w:r>
    </w:p>
    <w:p>
      <w:pPr>
        <w:spacing w:after="0" w:line="2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The contractual obligations table does not include any potential future milestone payments or royalty payments we may be required to make or receive under our existing license agreements due to the uncertainty of the occurrence of the events requiring payment under those agreements.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use of estimates</w:t>
      </w:r>
    </w:p>
    <w:p>
      <w:pPr>
        <w:spacing w:after="0" w:line="23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Our condensed consolidated financial statements are prepared in accordance with generally accepted accounting principles in the United States (GAAP). The preparation of our condensed consolidated financial statements and related disclosures requires us to make estimates and judgments that affect the reported amounts of assets, liabilities,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Our critical accounting policies are described under the heading “Management’s Discussion and Analysis of Financial Condition and Results of Operations— Critical Accounting Policies and Use of Estimates” in our Annual Report on Form 10-K for the year ended December 31, 2025, which was filed with the SEC on March 16, 2026. During the three months ended March 31, 2026, there were no material changes to our critical accounting policies from those previously disclosed.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233"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20"/>
          <w:szCs w:val="20"/>
          <w:color w:val="auto"/>
        </w:rPr>
        <w:t>A description of recently issued accounting pronouncements that may potentially impact our financial position and results of operations is disclosed in Note 2 to our condensed consolidated financial statements appearing elsewhere in this Quarterly Report.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Smaller reporting company status</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Effective as of December 31, 2025, the fifth anniversary of the closing of our IPO, we ceased to qualify as an “emerging growth company,” as defined in the Jumpstart Our Business Startups Act of 2012, as amended. As a result, commencing with our Annual Report on Form 10-K for the year ended December 31, 2025, we are no longer eligible to take advantage of certain exemptions from various reporting requirements that are applicable to emerging growth companies.</w:t>
      </w:r>
    </w:p>
    <w:p>
      <w:pPr>
        <w:spacing w:after="0" w:line="17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Despite our loss of emerging growth company status, we are still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As a smaller reporting company, we may continue to rely on exemptions from certain disclosure requirements that are available to smaller reporting companies despite the loss of emerging growth company status. Specifically, as a smaller reporting company we may choose to present only the two most recent fiscal years of audited financial statements in our Annual Report and, similar to emerging growth companies, smaller reporting companies have reduced disclosure obligations regarding executive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 About Market Risk</w:t>
      </w:r>
    </w:p>
    <w:p>
      <w:pPr>
        <w:spacing w:after="0" w:line="233"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We are a smaller reporting company as defined by Rule 12b-2 of the Exchange Act and are not required to provide the information required under this item.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Our management, with the participation of our Principal Executive Officer and Principal Financial Officer, evaluated the effectiveness of our disclosure controls and procedures (as defined in Rule 13a-15(e) of the Exchange Act) as of the end of the period covered by this Quarterly Report. Based on that evaluation, our Principal Executive Officer and Principal Financial Officer concluded that our disclosure controls and procedures were effective as of March 31,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2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Rules 13a-15(f) and 15d-15(f) of the Exchange Act) that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arising in the ordinary course of our business. We are not currently aware of any such proceedings or claims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i w:val="1"/>
          <w:iCs w:val="1"/>
          <w:color w:val="auto"/>
        </w:rPr>
        <w:t>Our business faces significant risks and uncertainties. Certain important factors may have a material adverse effect on our business prospects, financial condition and results of operations, and you should carefully consider them. Accordingly, in evaluating our business, we encourage you to carefully consider the discussion of risk factors in Part I, “Item 1A. Risk Factors” in our Annual Report on Form 10-K for the year ended December 31, 2025, which could materially affect our business, financial condition or future results, in addition to other information contained in or incorporated by reference into this Quarterly Report on Form 10-Q and our other public filings with the Securities and Exchange Commission, or the SEC. Additional risks and uncertainties not presently known to us or that we currently deem immaterial may also impair our business, prospects, financial condition and results of operations. Certain statements in this Quarterly Report are forward-looking statements. Please also see the section entitled “Special Note Regarding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Sales of Unregistered Equity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Issuer Purchases of Equity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10b5-1 Plans</w:t>
      </w:r>
    </w:p>
    <w:p>
      <w:pPr>
        <w:spacing w:after="0" w:line="22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From time to time, our officers (as defined in Rule 16a–1(f)) and directors may enter into Rule 10b5-1 or non-Rule 10b5-1 trading arrangements (as each such term is defined in Item 408 of Regulation S-K). During the three months ended March 31, 2026, our officers and directors took the following actions with respect to 10b5-1 trading arrangements:</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On February 26, 2026, Elizabeth Buck, our Chief Scientific Officer, entered into a trading arrangement intended to satisfy the affirmative defense conditions of Rule 10b5-1(c) (the Buck 10b5-1 Plan). The Buck 10b5-1 Plan is scheduled to commence on May 28, 2026, and will run through May 31, 2027. The aggregate maximum number of shares of common stock that may be sold pursuant to the Buck 10b5-1 Plan is up to 208,750 shares pursuant to the terms of the Buck 10b5-1 Plan.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233"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color w:val="auto"/>
        </w:rPr>
        <w:t>The exhibits listed on the Exhibit Index immediately preceding such exhibits, which is incorporated herein by reference, are filed or furnished as part of this Quarterly Report.</w:t>
      </w:r>
    </w:p>
    <w:p>
      <w:pPr>
        <w:sectPr>
          <w:pgSz w:w="11900" w:h="16838" w:orient="portrait"/>
          <w:cols w:equalWidth="0" w:num="1">
            <w:col w:w="11200"/>
          </w:cols>
          <w:pgMar w:left="320" w:top="360" w:right="379" w:bottom="1440" w:gutter="0" w:footer="0" w:header="0"/>
        </w:sectPr>
      </w:pPr>
    </w:p>
    <w:p>
      <w:pPr>
        <w:spacing w:after="0" w:line="52" w:lineRule="exact"/>
        <w:rPr>
          <w:sz w:val="20"/>
          <w:szCs w:val="20"/>
          <w:color w:val="auto"/>
        </w:rPr>
      </w:pPr>
    </w:p>
    <w:p>
      <w:pPr>
        <w:ind w:left="20" w:right="40"/>
        <w:spacing w:after="0" w:line="333" w:lineRule="auto"/>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26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4204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Amended and Restated Non-Employee Director Compensation Plan, effective January 1, 2026.</w:t>
      </w:r>
    </w:p>
    <w:p>
      <w:pPr>
        <w:spacing w:after="0" w:line="54"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20"/>
          <w:szCs w:val="20"/>
          <w:u w:val="single" w:color="auto"/>
          <w:color w:val="0000FF"/>
        </w:rPr>
        <w:t>Certification of Principal Executive Officer Pursuant to Rule 13a-14(a) or Rule 15d-14(a) of the Securities Exchange Act of 1934, as Adopted Pursuant to Section 302 of the Sarbanes-Oxley Act of 2002.</w:t>
      </w:r>
    </w:p>
    <w:p>
      <w:pPr>
        <w:spacing w:after="0" w:line="1"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20"/>
          <w:szCs w:val="20"/>
          <w:u w:val="single" w:color="auto"/>
          <w:color w:val="0000FF"/>
        </w:rPr>
        <w:t>Certification of Principal Financial Officer Pursuant to Rule 13a-14(a) or Rule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Certification Pursuant to 18 U.S.C. Section 1350, as Adopted Pursuant to Section 906 of the Sarbanes-Oxley Act of 2002.</w:t>
      </w:r>
    </w:p>
    <w:p>
      <w:pPr>
        <w:spacing w:after="0" w:line="5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1" w:lineRule="exact"/>
        <w:rPr>
          <w:sz w:val="20"/>
          <w:szCs w:val="20"/>
          <w:color w:val="auto"/>
        </w:rPr>
      </w:pPr>
    </w:p>
    <w:p>
      <w:pPr>
        <w:sectPr>
          <w:pgSz w:w="11900" w:h="16838" w:orient="portrait"/>
          <w:cols w:equalWidth="0" w:num="2">
            <w:col w:w="640" w:space="500"/>
            <w:col w:w="10060"/>
          </w:cols>
          <w:pgMar w:left="320" w:top="360" w:right="37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1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31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with applicable taxonomy extension information 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ind w:left="1020" w:hanging="99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0" w:lineRule="exact"/>
        <w:rPr>
          <w:sz w:val="20"/>
          <w:szCs w:val="20"/>
          <w:color w:val="auto"/>
        </w:rPr>
      </w:pPr>
    </w:p>
    <w:p>
      <w:pPr>
        <w:ind w:left="1020" w:right="180" w:hanging="994"/>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Exchange Act, or otherwise subject to the liability of that section. Such certification will not be deemed to be incorporated by reference into any filing under the Securities Act or the Exchange Act, except to the extent specifically incorporated by reference into such filing.</w:t>
      </w:r>
    </w:p>
    <w:p>
      <w:pPr>
        <w:spacing w:after="0" w:line="7" w:lineRule="exact"/>
        <w:rPr>
          <w:sz w:val="20"/>
          <w:szCs w:val="20"/>
          <w:color w:val="auto"/>
        </w:rPr>
      </w:pPr>
    </w:p>
    <w:p>
      <w:pPr>
        <w:ind w:left="1020" w:hanging="99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2"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SIGNATURES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3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b w:val="1"/>
          <w:bCs w:val="1"/>
          <w:color w:val="auto"/>
        </w:rPr>
        <w:t>Black Diamond Therapeutics, Inc.</w:t>
      </w: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5360" w:val="left"/>
          <w:tab w:leader="none" w:pos="5820" w:val="left"/>
        </w:tabs>
        <w:rPr>
          <w:sz w:val="20"/>
          <w:szCs w:val="20"/>
          <w:color w:val="auto"/>
        </w:rPr>
      </w:pPr>
      <w:r>
        <w:rPr>
          <w:rFonts w:ascii="Times New Roman" w:cs="Times New Roman" w:eastAsia="Times New Roman" w:hAnsi="Times New Roman"/>
          <w:sz w:val="20"/>
          <w:szCs w:val="20"/>
          <w:color w:val="auto"/>
        </w:rPr>
        <w:t>Date: May 7,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9"/>
          <w:szCs w:val="29"/>
          <w:color w:val="auto"/>
          <w:vertAlign w:val="superscript"/>
        </w:rPr>
        <w:t>/s/ Mark A. Velleca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0</wp:posOffset>
            </wp:positionV>
            <wp:extent cx="3437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7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Mark A. Velleca</w:t>
      </w:r>
    </w:p>
    <w:p>
      <w:pPr>
        <w:spacing w:after="0" w:line="5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9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4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b w:val="1"/>
          <w:bCs w:val="1"/>
          <w:color w:val="auto"/>
        </w:rPr>
        <w:t>Black Diamond Therapeutics, Inc.</w:t>
      </w:r>
    </w:p>
    <w:p>
      <w:pPr>
        <w:spacing w:after="0" w:line="200" w:lineRule="exact"/>
        <w:rPr>
          <w:sz w:val="20"/>
          <w:szCs w:val="20"/>
          <w:color w:val="auto"/>
        </w:rPr>
      </w:pPr>
    </w:p>
    <w:p>
      <w:pPr>
        <w:spacing w:after="0" w:line="222" w:lineRule="exact"/>
        <w:rPr>
          <w:sz w:val="20"/>
          <w:szCs w:val="20"/>
          <w:color w:val="auto"/>
        </w:rPr>
      </w:pPr>
    </w:p>
    <w:p>
      <w:pPr>
        <w:ind w:left="20"/>
        <w:spacing w:after="0"/>
        <w:tabs>
          <w:tab w:leader="none" w:pos="5360" w:val="left"/>
          <w:tab w:leader="none" w:pos="5820" w:val="left"/>
        </w:tabs>
        <w:rPr>
          <w:sz w:val="20"/>
          <w:szCs w:val="20"/>
          <w:color w:val="auto"/>
        </w:rPr>
      </w:pPr>
      <w:r>
        <w:rPr>
          <w:rFonts w:ascii="Times New Roman" w:cs="Times New Roman" w:eastAsia="Times New Roman" w:hAnsi="Times New Roman"/>
          <w:sz w:val="20"/>
          <w:szCs w:val="20"/>
          <w:color w:val="auto"/>
        </w:rPr>
        <w:t>Date: May 7,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Erika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57150</wp:posOffset>
            </wp:positionV>
            <wp:extent cx="3437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5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Erika Jones</w:t>
      </w:r>
    </w:p>
    <w:p>
      <w:pPr>
        <w:spacing w:after="0" w:line="8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Senior Vice President, Finance</w:t>
      </w:r>
    </w:p>
    <w:p>
      <w:pPr>
        <w:spacing w:after="0" w:line="8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0980"/>
          </w:cols>
          <w:pgMar w:left="320" w:top="360" w:right="599" w:bottom="1440" w:gutter="0" w:footer="0" w:header="0"/>
        </w:sectPr>
      </w:pPr>
    </w:p>
    <w:bookmarkStart w:id="37" w:name="page38"/>
    <w:bookmarkEnd w:id="37"/>
    <w:p>
      <w:pPr>
        <w:ind w:left="3520"/>
        <w:spacing w:after="0"/>
        <w:rPr>
          <w:sz w:val="20"/>
          <w:szCs w:val="20"/>
          <w:color w:val="auto"/>
        </w:rPr>
      </w:pPr>
      <w:r>
        <w:rPr>
          <w:rFonts w:ascii="Times New Roman" w:cs="Times New Roman" w:eastAsia="Times New Roman" w:hAnsi="Times New Roman"/>
          <w:sz w:val="22"/>
          <w:szCs w:val="22"/>
          <w:b w:val="1"/>
          <w:bCs w:val="1"/>
          <w:color w:val="auto"/>
        </w:rPr>
        <w:t>BLACK DIAMOND THERAPEUTICS, INC.</w:t>
      </w:r>
    </w:p>
    <w:p>
      <w:pPr>
        <w:spacing w:after="0" w:line="2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b w:val="1"/>
          <w:bCs w:val="1"/>
          <w:color w:val="auto"/>
        </w:rPr>
        <w:t>SIXTH AMENDED AND RESTATED NON-EMPLOYEE DIRECTOR COMPENSATION POLICY</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purpose of this Amended and Restated Non-Employee Director Compensation Policy (as may be amended, restated or otherwise modified from time to time,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of Black Diamond Therapeutics,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 to provide a total compensation package that enables the Company to attract and retain, on a long-term basis, high-caliber directors who are not employees or officers of the Company or its subsidiaries. In furtherance of the purpose stated above, all non-employee directors shall be paid compensation for services provided to the Company as set forth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Cash Retainers</w:t>
      </w:r>
    </w:p>
    <w:p>
      <w:pPr>
        <w:spacing w:after="0" w:line="251"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u w:val="single" w:color="auto"/>
          <w:color w:val="auto"/>
        </w:rPr>
        <w:t>Annual Retainer for Board Membership</w:t>
      </w:r>
      <w:r>
        <w:rPr>
          <w:rFonts w:ascii="Times New Roman" w:cs="Times New Roman" w:eastAsia="Times New Roman" w:hAnsi="Times New Roman"/>
          <w:sz w:val="22"/>
          <w:szCs w:val="22"/>
          <w:color w:val="auto"/>
        </w:rPr>
        <w:t>: $40,000 for general availability and participation in meetings and conference calls of our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to be paid quarterly in arrears, pro-rated based on the number of actual days served by the director during such calendar quarter.</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Additional Annual Retainer for Lead Independent Director of the Board:</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$25,000</w:t>
            </w:r>
          </w:p>
        </w:tc>
      </w:tr>
      <w:tr>
        <w:trPr>
          <w:trHeight w:val="358"/>
        </w:trPr>
        <w:tc>
          <w:tcPr>
            <w:tcW w:w="6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Additional Retainers for Committee Membership</w:t>
            </w:r>
          </w:p>
        </w:tc>
        <w:tc>
          <w:tcPr>
            <w:tcW w:w="21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10"/>
        </w:trPr>
        <w:tc>
          <w:tcPr>
            <w:tcW w:w="426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22"/>
                <w:szCs w:val="22"/>
                <w:color w:val="auto"/>
              </w:rPr>
              <w:t>Audit Committee Chair:</w:t>
            </w:r>
          </w:p>
        </w:tc>
        <w:tc>
          <w:tcPr>
            <w:tcW w:w="4140" w:type="dxa"/>
            <w:vAlign w:val="bottom"/>
            <w:gridSpan w:val="2"/>
          </w:tcPr>
          <w:p>
            <w:pPr>
              <w:spacing w:after="0"/>
              <w:rPr>
                <w:sz w:val="24"/>
                <w:szCs w:val="24"/>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$15,000</w:t>
            </w:r>
          </w:p>
        </w:tc>
      </w:tr>
      <w:tr>
        <w:trPr>
          <w:trHeight w:val="378"/>
        </w:trPr>
        <w:tc>
          <w:tcPr>
            <w:tcW w:w="840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Audit Committee member:</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$7,500</w:t>
            </w:r>
          </w:p>
        </w:tc>
      </w:tr>
      <w:tr>
        <w:trPr>
          <w:trHeight w:val="378"/>
        </w:trPr>
        <w:tc>
          <w:tcPr>
            <w:tcW w:w="840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Compensation Committee Chair:</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$12,000</w:t>
            </w:r>
          </w:p>
        </w:tc>
      </w:tr>
      <w:tr>
        <w:trPr>
          <w:trHeight w:val="378"/>
        </w:trPr>
        <w:tc>
          <w:tcPr>
            <w:tcW w:w="840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Compensation Committee member:</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$6,000</w:t>
            </w:r>
          </w:p>
        </w:tc>
      </w:tr>
      <w:tr>
        <w:trPr>
          <w:trHeight w:val="378"/>
        </w:trPr>
        <w:tc>
          <w:tcPr>
            <w:tcW w:w="840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Nominating and Corporate Governance Committee Chair:</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w:t>
            </w:r>
          </w:p>
        </w:tc>
      </w:tr>
      <w:tr>
        <w:trPr>
          <w:trHeight w:val="378"/>
        </w:trPr>
        <w:tc>
          <w:tcPr>
            <w:tcW w:w="840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Nominating and Corporate Governance Committee member:</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w:t>
            </w: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Chair and committee member retainers are in addition to retainers for members of the Board.</w:t>
      </w: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Each non-employee director may elect to receive all or a portion of his or her cash compensation in the form of unrestricted shares having a grant date fair value equal to the amount (or portion thereof) of such compensation. Any such election (i) shall be made (x) for any continuing non-employee director, before the start of the calendar year with respect to any cash compensation for such calendar year and (y) for any new non-employee director, within 30 days of her or his election to the Board, (ii) shall be irrevocable with respect to such calendar year and (iii) shall automatically apply to the cash compensation for each subsequent calendar year unless otherwise revoked prior to the start of such calendar year.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Retainers</w:t>
      </w:r>
    </w:p>
    <w:p>
      <w:pPr>
        <w:spacing w:after="0" w:line="2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An initial, one-time equity award (the “</w:t>
      </w: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of an option to purchase 80,000 shares of our common stock to each new non-employee director upon his or her</w:t>
      </w:r>
    </w:p>
    <w:p>
      <w:pPr>
        <w:sectPr>
          <w:pgSz w:w="11900" w:h="16838" w:orient="portrait"/>
          <w:cols w:equalWidth="0" w:num="1">
            <w:col w:w="11240"/>
          </w:cols>
          <w:pgMar w:left="320" w:top="1391" w:right="339" w:bottom="1440" w:gutter="0" w:footer="0" w:header="0"/>
        </w:sectPr>
      </w:pPr>
    </w:p>
    <w:bookmarkStart w:id="38" w:name="page39"/>
    <w:bookmarkEnd w:id="38"/>
    <w:p>
      <w:pPr>
        <w:jc w:val="both"/>
        <w:spacing w:after="0" w:line="236" w:lineRule="auto"/>
        <w:rPr>
          <w:sz w:val="20"/>
          <w:szCs w:val="20"/>
          <w:color w:val="auto"/>
        </w:rPr>
      </w:pPr>
      <w:r>
        <w:rPr>
          <w:rFonts w:ascii="Times New Roman" w:cs="Times New Roman" w:eastAsia="Times New Roman" w:hAnsi="Times New Roman"/>
          <w:sz w:val="22"/>
          <w:szCs w:val="22"/>
          <w:color w:val="auto"/>
        </w:rPr>
        <w:t>election to the Board, which shall vest in 36 equal monthly installment from the date of vesting commencement, provided, however, that all vesting shall cease if the director resigns from the Board or otherwise ceases to serve as a director of the Company. This Initial Award applies only to non-employee directors who are first elected to the Board subsequent to the Company’s initial public offering. If the Initial Award is in the form of a stock option, such stock option shall have a per share exercise price equal to the Fair Market Value (as defined in the Company’s 2020 Stock Option and Incentive Plan) of the Company’s common stock on the date of grant.</w:t>
      </w:r>
    </w:p>
    <w:p>
      <w:pPr>
        <w:spacing w:after="0" w:line="19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On each date of the Company’s Annual Meeting of Stockholders following the completion of the Company’s initial public offering (the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each continuing non-employee member of the Board, other than a director receiving an Initial Award, will receive an annual equity award (the “</w:t>
      </w: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of an option to purchase 40,000 shares of our common stock, which shall vest in full on the earlier of the date that is one year from the date of grant or the date of the first annual meeting of the Company’s stockholders held after the date of grant; provided, however, that all vesting shall cease if the director resigns from the Board or otherwise ceases to serve as a director, unless the Board determines that the circumstances warrant continuation of vesting. If the Annual Award is in the form of a stock option, such stock option shall have a per share exercise price equal to the Fair Market Value (as defined in the Company’s 2020 Stock Option and Incentive Plan) of the Company’s common stock on the date of grant.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Expenses</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Company will reimburse all reasonable out-of-pocket expenses incurred by non-employee directors in attending meetings of the Board or any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Originally adopted by the Board on December 5, 2019.</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Amended and Restated by the Board on September 25, 2020, February 17, 2021, April 27, 2022, February 13, 2023, February 14, 2024, and January 21, 2026.</w:t>
      </w:r>
    </w:p>
    <w:p>
      <w:pPr>
        <w:sectPr>
          <w:pgSz w:w="11900" w:h="16838" w:orient="portrait"/>
          <w:cols w:equalWidth="0" w:num="1">
            <w:col w:w="11240"/>
          </w:cols>
          <w:pgMar w:left="320" w:top="1408"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RULE 13a-14(a) OR 15d-14(a)</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SARBANES-OXLEY ACT OF 2002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Mark A. Velleca, certify that:</w:t>
      </w:r>
    </w:p>
    <w:p>
      <w:pPr>
        <w:spacing w:after="0" w:line="24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for the period ended March 31, 2026 of Black Diamond Therapeutics, Inc.;</w:t>
      </w:r>
    </w:p>
    <w:p>
      <w:pPr>
        <w:spacing w:after="0" w:line="256"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20"/>
          <w:szCs w:val="20"/>
          <w:color w:val="auto"/>
        </w:rPr>
      </w:pPr>
    </w:p>
    <w:p>
      <w:pPr>
        <w:ind w:left="660" w:right="140" w:hanging="328"/>
        <w:spacing w:after="0" w:line="268" w:lineRule="auto"/>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ind w:left="1300" w:right="100" w:hanging="320"/>
        <w:spacing w:after="0" w:line="254" w:lineRule="auto"/>
        <w:tabs>
          <w:tab w:leader="none" w:pos="1289"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560" w:hanging="320"/>
        <w:spacing w:after="0" w:line="261" w:lineRule="auto"/>
        <w:tabs>
          <w:tab w:leader="none" w:pos="130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9"/>
          <w:szCs w:val="19"/>
          <w:color w:val="auto"/>
        </w:rPr>
      </w:pPr>
    </w:p>
    <w:p>
      <w:pPr>
        <w:ind w:left="1300" w:right="60" w:hanging="320"/>
        <w:spacing w:after="0" w:line="246" w:lineRule="auto"/>
        <w:tabs>
          <w:tab w:leader="none" w:pos="1289"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1300" w:right="80" w:hanging="320"/>
        <w:spacing w:after="0" w:line="256" w:lineRule="auto"/>
        <w:tabs>
          <w:tab w:leader="none" w:pos="130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40" w:name="page41"/>
    <w:bookmarkEnd w:id="40"/>
    <w:p>
      <w:pPr>
        <w:ind w:left="640" w:hanging="328"/>
        <w:spacing w:after="0" w:line="261" w:lineRule="auto"/>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280" w:right="80" w:hanging="320"/>
        <w:spacing w:after="0" w:line="254" w:lineRule="auto"/>
        <w:tabs>
          <w:tab w:leader="none" w:pos="1269"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80" w:right="480" w:hanging="320"/>
        <w:spacing w:after="0" w:line="253" w:lineRule="auto"/>
        <w:tabs>
          <w:tab w:leader="none" w:pos="12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9" w:lineRule="exact"/>
        <w:rPr>
          <w:sz w:val="20"/>
          <w:szCs w:val="20"/>
          <w:color w:val="auto"/>
        </w:rPr>
      </w:pPr>
    </w:p>
    <w:p>
      <w:pPr>
        <w:spacing w:after="0"/>
        <w:tabs>
          <w:tab w:leader="none" w:pos="5780" w:val="left"/>
          <w:tab w:leader="none" w:pos="6460" w:val="left"/>
        </w:tabs>
        <w:rPr>
          <w:sz w:val="20"/>
          <w:szCs w:val="20"/>
          <w:color w:val="auto"/>
        </w:rPr>
      </w:pPr>
      <w:r>
        <w:rPr>
          <w:rFonts w:ascii="Times New Roman" w:cs="Times New Roman" w:eastAsia="Times New Roman" w:hAnsi="Times New Roman"/>
          <w:sz w:val="20"/>
          <w:szCs w:val="20"/>
          <w:color w:val="auto"/>
        </w:rPr>
        <w:t>Date: May 7,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Mark A. Velleca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22860</wp:posOffset>
            </wp:positionV>
            <wp:extent cx="27343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4"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Mark A. Velleca</w:t>
      </w:r>
    </w:p>
    <w:p>
      <w:pPr>
        <w:spacing w:after="0" w:line="2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President, Chief Executive Officer</w:t>
      </w:r>
    </w:p>
    <w:p>
      <w:pPr>
        <w:spacing w:after="0" w:line="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and Director</w:t>
      </w:r>
    </w:p>
    <w:p>
      <w:pPr>
        <w:spacing w:after="0" w:line="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0960"/>
          </w:cols>
          <w:pgMar w:left="340" w:top="1413" w:right="5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RULE 13a-14(a) OR 15d-14(a)</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SARBANES-OXLEY ACT OF 2002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Erika Jones, certify that:</w:t>
      </w:r>
    </w:p>
    <w:p>
      <w:pPr>
        <w:spacing w:after="0" w:line="24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for the period ended March 31, 2026 of Black Diamond Therapeutics, Inc.;</w:t>
      </w:r>
    </w:p>
    <w:p>
      <w:pPr>
        <w:spacing w:after="0" w:line="242"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Times New Roman" w:cs="Times New Roman" w:eastAsia="Times New Roman" w:hAnsi="Times New Roman"/>
          <w:sz w:val="20"/>
          <w:szCs w:val="20"/>
          <w:color w:val="auto"/>
        </w:rPr>
      </w:pPr>
    </w:p>
    <w:p>
      <w:pPr>
        <w:ind w:left="660" w:right="140" w:hanging="328"/>
        <w:spacing w:after="0" w:line="261"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Times New Roman" w:cs="Times New Roman" w:eastAsia="Times New Roman" w:hAnsi="Times New Roman"/>
          <w:sz w:val="20"/>
          <w:szCs w:val="20"/>
          <w:color w:val="auto"/>
        </w:rPr>
      </w:pPr>
    </w:p>
    <w:p>
      <w:pPr>
        <w:ind w:left="1300" w:right="100" w:hanging="320"/>
        <w:spacing w:after="0" w:line="256" w:lineRule="auto"/>
        <w:tabs>
          <w:tab w:leader="none" w:pos="1289"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1300" w:right="560" w:hanging="320"/>
        <w:spacing w:after="0" w:line="259" w:lineRule="auto"/>
        <w:tabs>
          <w:tab w:leader="none" w:pos="1300"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9"/>
          <w:szCs w:val="19"/>
          <w:color w:val="auto"/>
        </w:rPr>
      </w:pPr>
    </w:p>
    <w:p>
      <w:pPr>
        <w:ind w:left="1300" w:right="60" w:hanging="320"/>
        <w:spacing w:after="0" w:line="248" w:lineRule="auto"/>
        <w:tabs>
          <w:tab w:leader="none" w:pos="1289"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20"/>
          <w:szCs w:val="20"/>
          <w:color w:val="auto"/>
        </w:rPr>
      </w:pPr>
    </w:p>
    <w:p>
      <w:pPr>
        <w:ind w:left="1300" w:right="80" w:hanging="320"/>
        <w:spacing w:after="0" w:line="253" w:lineRule="auto"/>
        <w:tabs>
          <w:tab w:leader="none" w:pos="130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42" w:name="page43"/>
    <w:bookmarkEnd w:id="42"/>
    <w:p>
      <w:pPr>
        <w:ind w:left="640" w:hanging="328"/>
        <w:spacing w:after="0" w:line="261" w:lineRule="auto"/>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280" w:right="80" w:hanging="320"/>
        <w:spacing w:after="0" w:line="254" w:lineRule="auto"/>
        <w:tabs>
          <w:tab w:leader="none" w:pos="1269"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80" w:right="480" w:hanging="320"/>
        <w:spacing w:after="0" w:line="253" w:lineRule="auto"/>
        <w:tabs>
          <w:tab w:leader="none" w:pos="128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9" w:lineRule="exact"/>
        <w:rPr>
          <w:sz w:val="20"/>
          <w:szCs w:val="20"/>
          <w:color w:val="auto"/>
        </w:rPr>
      </w:pPr>
    </w:p>
    <w:p>
      <w:pPr>
        <w:spacing w:after="0"/>
        <w:tabs>
          <w:tab w:leader="none" w:pos="5800" w:val="left"/>
          <w:tab w:leader="none" w:pos="6460" w:val="left"/>
        </w:tabs>
        <w:rPr>
          <w:sz w:val="20"/>
          <w:szCs w:val="20"/>
          <w:color w:val="auto"/>
        </w:rPr>
      </w:pPr>
      <w:r>
        <w:rPr>
          <w:rFonts w:ascii="Times New Roman" w:cs="Times New Roman" w:eastAsia="Times New Roman" w:hAnsi="Times New Roman"/>
          <w:sz w:val="20"/>
          <w:szCs w:val="20"/>
          <w:color w:val="auto"/>
        </w:rPr>
        <w:t>Date: May 7,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Erika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22860</wp:posOffset>
            </wp:positionV>
            <wp:extent cx="27171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4"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Erika Jones</w:t>
      </w:r>
    </w:p>
    <w:p>
      <w:pPr>
        <w:spacing w:after="0" w:line="4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Senior Vice President, Finance</w:t>
      </w:r>
    </w:p>
    <w:p>
      <w:pPr>
        <w:spacing w:after="0" w:line="54"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(Principal Financial Officer and Principal</w:t>
      </w:r>
    </w:p>
    <w:p>
      <w:pPr>
        <w:spacing w:after="0" w:line="2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Accounting Officer)</w:t>
      </w:r>
    </w:p>
    <w:p>
      <w:pPr>
        <w:sectPr>
          <w:pgSz w:w="11900" w:h="16838" w:orient="portrait"/>
          <w:cols w:equalWidth="0" w:num="1">
            <w:col w:w="10960"/>
          </w:cols>
          <w:pgMar w:left="340" w:top="1413" w:right="5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3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20"/>
          <w:szCs w:val="20"/>
          <w:color w:val="auto"/>
        </w:rPr>
        <w:t>Pursuant to 18 U.S.C. Section 1350, as adopted pursuant to Section 906 of the Sarbanes-Oxley Act of 2002, Mark A. Velleca, the Principal Executive Officer, and Erika Jones, the Principal Financial Officer, of Black Diamond Therapeutics, Inc. (the “Company”), hereby certify, that, to their knowledge:</w:t>
      </w:r>
    </w:p>
    <w:p>
      <w:pPr>
        <w:spacing w:after="0" w:line="208" w:lineRule="exact"/>
        <w:rPr>
          <w:sz w:val="20"/>
          <w:szCs w:val="20"/>
          <w:color w:val="auto"/>
        </w:rPr>
      </w:pPr>
    </w:p>
    <w:p>
      <w:pPr>
        <w:ind w:left="660" w:right="440" w:hanging="328"/>
        <w:spacing w:after="0" w:line="269"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for the period ended March 31, 2026 (the “Report”) of the Company fully complies with the requirements of Section 13(a) or 15(d) of the Securities Exchange Act of 1934; and</w:t>
      </w:r>
    </w:p>
    <w:p>
      <w:pPr>
        <w:spacing w:after="0" w:line="172" w:lineRule="exact"/>
        <w:rPr>
          <w:rFonts w:ascii="Times New Roman" w:cs="Times New Roman" w:eastAsia="Times New Roman" w:hAnsi="Times New Roman"/>
          <w:sz w:val="20"/>
          <w:szCs w:val="20"/>
          <w:color w:val="auto"/>
        </w:rPr>
      </w:pPr>
    </w:p>
    <w:p>
      <w:pPr>
        <w:ind w:left="660" w:right="40" w:hanging="328"/>
        <w:spacing w:after="0" w:line="283"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62" w:lineRule="exact"/>
        <w:rPr>
          <w:sz w:val="20"/>
          <w:szCs w:val="20"/>
          <w:color w:val="auto"/>
        </w:rPr>
      </w:pPr>
    </w:p>
    <w:p>
      <w:pPr>
        <w:ind w:left="20"/>
        <w:spacing w:after="0"/>
        <w:tabs>
          <w:tab w:leader="none" w:pos="5280" w:val="left"/>
          <w:tab w:leader="none" w:pos="6020" w:val="left"/>
        </w:tabs>
        <w:rPr>
          <w:sz w:val="20"/>
          <w:szCs w:val="20"/>
          <w:color w:val="auto"/>
        </w:rPr>
      </w:pPr>
      <w:r>
        <w:rPr>
          <w:rFonts w:ascii="Times New Roman" w:cs="Times New Roman" w:eastAsia="Times New Roman" w:hAnsi="Times New Roman"/>
          <w:sz w:val="20"/>
          <w:szCs w:val="20"/>
          <w:color w:val="auto"/>
        </w:rPr>
        <w:t>Date: May 7,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Mark A. Velleca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22860</wp:posOffset>
            </wp:positionV>
            <wp:extent cx="30689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Mark A. Velleca</w:t>
      </w:r>
    </w:p>
    <w:p>
      <w:pPr>
        <w:spacing w:after="0" w:line="2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President, Chief Executive Officer</w:t>
      </w:r>
    </w:p>
    <w:p>
      <w:pPr>
        <w:spacing w:after="0" w:line="1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and Director</w:t>
      </w:r>
    </w:p>
    <w:p>
      <w:pPr>
        <w:spacing w:after="0" w:line="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5340" w:val="left"/>
          <w:tab w:leader="none" w:pos="6060" w:val="left"/>
        </w:tabs>
        <w:rPr>
          <w:sz w:val="20"/>
          <w:szCs w:val="20"/>
          <w:color w:val="auto"/>
        </w:rPr>
      </w:pPr>
      <w:r>
        <w:rPr>
          <w:rFonts w:ascii="Times New Roman" w:cs="Times New Roman" w:eastAsia="Times New Roman" w:hAnsi="Times New Roman"/>
          <w:sz w:val="20"/>
          <w:szCs w:val="20"/>
          <w:color w:val="auto"/>
        </w:rPr>
        <w:t>Date: May 7,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Erika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22860</wp:posOffset>
            </wp:positionV>
            <wp:extent cx="30346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3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Erika Jones</w:t>
      </w:r>
    </w:p>
    <w:p>
      <w:pPr>
        <w:spacing w:after="0" w:line="5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Senior Vice President, Finance</w:t>
      </w:r>
    </w:p>
    <w:p>
      <w:pPr>
        <w:spacing w:after="0" w:line="4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(Principal Financial Officer and Principal Accounting</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Officer)</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5"/>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5"/>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2026-05-07T06:23:49Z</dcterms:created>
  <dcterms:modified xsi:type="dcterms:W3CDTF">2026-05-07T06:23:49Z</dcterms:modified>
</cp:coreProperties>
</file>