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222026_080600.xml.htm"/>
      <w:bookmarkStart w:id="1" w:name="ksform406222026_08060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Raman Prakash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BLACK DIAMOND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245 FIRST STREET, 18TH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Black Diamond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BDTX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717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7,907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45,039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issued in accordance with the Issuer's Sixth Amended and Restated Non-Employee Director Compensation Policy, pursuant to which the Reporting Person elected to receive shares of the Issuer's common stock in lieu of cash compensation for annual services as a non-employee director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based upon the closing market price of the Issuer's common stock on June 18,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Brent Hatzis-Schoch,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8686" TargetMode="External"/><Relationship Id="rId5" Type="http://schemas.openxmlformats.org/officeDocument/2006/relationships/hyperlink" Target="http://www.sec.gov/cgi-bin/browse-edgar?action=getcompany&amp;CIK=00017015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634</Words>
  <Characters>3452</Characters>
  <CharactersWithSpaces>4026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