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TRANSITION PERIOD FROM _ TO 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COMMISSION FILE NUMBER 001-38501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BLACK DIAMOND THERAPEUTICS,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tbl>
      <w:tblPr>
        <w:tblW w:w="6449" w:type="dxa"/>
        <w:jc w:val="center"/>
        <w:tblInd w:w="0" w:type="dxa"/>
        <w:tblLayout w:type="fixed"/>
        <w:tblCellMar>
          <w:top w:w="28" w:type="dxa"/>
          <w:left w:w="28" w:type="dxa"/>
          <w:bottom w:w="28" w:type="dxa"/>
          <w:right w:w="28" w:type="dxa"/>
        </w:tblCellMar>
      </w:tblPr>
      <w:tblGrid>
        <w:gridCol w:w="1546"/>
        <w:gridCol w:w="1358"/>
        <w:gridCol w:w="1375"/>
        <w:gridCol w:w="633"/>
        <w:gridCol w:w="633"/>
        <w:gridCol w:w="904"/>
      </w:tblGrid>
      <w:tr>
        <w:trPr/>
        <w:tc>
          <w:tcPr>
            <w:tcW w:w="15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2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81-4254660</w:t>
            </w:r>
          </w:p>
        </w:tc>
      </w:tr>
      <w:tr>
        <w:trPr/>
        <w:tc>
          <w:tcPr>
            <w:tcW w:w="4279" w:type="dxa"/>
            <w:gridSpan w:val="3"/>
            <w:tcBorders/>
            <w:tcMar>
              <w:top w:w="0" w:type="dxa"/>
              <w:left w:w="0" w:type="dxa"/>
              <w:bottom w:w="0" w:type="dxa"/>
              <w:right w:w="0" w:type="dxa"/>
            </w:tcMar>
            <w:vAlign w:val="center"/>
          </w:tcPr>
          <w:p>
            <w:pPr>
              <w:pStyle w:val="TableContents"/>
              <w:bidi w:val="0"/>
              <w:spacing w:lineRule="auto" w:line="333" w:before="40" w:after="40"/>
              <w:jc w:val="center"/>
              <w:rPr>
                <w:rFonts w:ascii="Times New Roman;serif" w:hAnsi="Times New Roman;serif"/>
                <w:b/>
                <w:color w:val="000000"/>
                <w:sz w:val="18"/>
              </w:rPr>
            </w:pPr>
            <w:r>
              <w:rPr>
                <w:rFonts w:ascii="Times New Roman;serif" w:hAnsi="Times New Roman;serif"/>
                <w:b/>
                <w:color w:val="000000"/>
                <w:sz w:val="18"/>
              </w:rPr>
              <w:t>(State or other jurisdiction</w:t>
            </w:r>
          </w:p>
          <w:p>
            <w:pPr>
              <w:pStyle w:val="TableContents"/>
              <w:bidi w:val="0"/>
              <w:spacing w:lineRule="auto" w:line="333" w:before="40" w:after="40"/>
              <w:jc w:val="center"/>
              <w:rPr>
                <w:rFonts w:ascii="Times New Roman;serif" w:hAnsi="Times New Roman;serif"/>
                <w:b/>
                <w:color w:val="000000"/>
                <w:sz w:val="18"/>
              </w:rPr>
            </w:pPr>
            <w:r>
              <w:rPr>
                <w:rFonts w:ascii="Times New Roman;serif" w:hAnsi="Times New Roman;serif"/>
                <w:b/>
                <w:color w:val="000000"/>
                <w:sz w:val="18"/>
              </w:rPr>
              <w:t>of incorporation or organization)</w:t>
            </w:r>
          </w:p>
        </w:tc>
        <w:tc>
          <w:tcPr>
            <w:tcW w:w="2170" w:type="dxa"/>
            <w:gridSpan w:val="3"/>
            <w:tcBorders/>
            <w:tcMar>
              <w:top w:w="0" w:type="dxa"/>
              <w:left w:w="0" w:type="dxa"/>
              <w:bottom w:w="0" w:type="dxa"/>
              <w:right w:w="0" w:type="dxa"/>
            </w:tcMar>
            <w:vAlign w:val="center"/>
          </w:tcPr>
          <w:p>
            <w:pPr>
              <w:pStyle w:val="TableContents"/>
              <w:bidi w:val="0"/>
              <w:spacing w:lineRule="auto" w:line="333" w:before="40" w:after="4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333" w:before="40" w:after="40"/>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427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245 First Street, 18th Floor </w:t>
            </w:r>
          </w:p>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Cambridge, Massachusetts</w:t>
            </w:r>
          </w:p>
          <w:p>
            <w:pPr>
              <w:pStyle w:val="TableContents"/>
              <w:bidi w:val="0"/>
              <w:spacing w:lineRule="auto" w:line="333" w:before="0" w:after="4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170"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18"/>
              </w:rPr>
            </w:pPr>
            <w:r>
              <w:rPr>
                <w:rFonts w:ascii="Times New Roman;serif" w:hAnsi="Times New Roman;serif"/>
                <w:b w:val="false"/>
                <w:color w:val="000000"/>
                <w:sz w:val="18"/>
              </w:rPr>
              <w:t>02142</w:t>
            </w:r>
          </w:p>
          <w:p>
            <w:pPr>
              <w:pStyle w:val="TableContents"/>
              <w:bidi w:val="0"/>
              <w:spacing w:lineRule="auto" w:line="333" w:before="0" w:after="40"/>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6449" w:type="dxa"/>
            <w:gridSpan w:val="6"/>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18"/>
              </w:rPr>
            </w:pPr>
            <w:r>
              <w:rPr>
                <w:rFonts w:ascii="Times New Roman;serif" w:hAnsi="Times New Roman;serif"/>
                <w:b w:val="false"/>
                <w:color w:val="000000"/>
                <w:sz w:val="18"/>
              </w:rPr>
              <w:t>(617) 252-0848</w:t>
            </w:r>
          </w:p>
          <w:p>
            <w:pPr>
              <w:pStyle w:val="TableContents"/>
              <w:bidi w:val="0"/>
              <w:spacing w:lineRule="auto" w:line="333" w:before="0" w:after="4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6449"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One Main Street, 14th Floor, Cambridge, Massachusetts 02142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211D1E"/>
          <w:sz w:val="20"/>
        </w:rPr>
      </w:pPr>
      <w:r>
        <w:rPr>
          <w:rFonts w:ascii="Times New Roman;serif" w:hAnsi="Times New Roman;serif"/>
          <w:b w:val="false"/>
          <w:color w:val="211D1E"/>
          <w:sz w:val="20"/>
        </w:rPr>
        <w:t>Securities registered pursuant to Section 12(b) of the Act:</w:t>
      </w:r>
    </w:p>
    <w:tbl>
      <w:tblPr>
        <w:tblW w:w="8428" w:type="dxa"/>
        <w:jc w:val="left"/>
        <w:tblInd w:w="0" w:type="dxa"/>
        <w:tblLayout w:type="fixed"/>
        <w:tblCellMar>
          <w:top w:w="28" w:type="dxa"/>
          <w:left w:w="28" w:type="dxa"/>
          <w:bottom w:w="28" w:type="dxa"/>
          <w:right w:w="28" w:type="dxa"/>
        </w:tblCellMar>
      </w:tblPr>
      <w:tblGrid>
        <w:gridCol w:w="1051"/>
        <w:gridCol w:w="924"/>
        <w:gridCol w:w="934"/>
        <w:gridCol w:w="564"/>
        <w:gridCol w:w="564"/>
        <w:gridCol w:w="566"/>
        <w:gridCol w:w="1118"/>
        <w:gridCol w:w="1118"/>
        <w:gridCol w:w="1589"/>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BDTX</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290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31" w:type="dxa"/>
        <w:jc w:val="left"/>
        <w:tblInd w:w="0" w:type="dxa"/>
        <w:tblLayout w:type="fixed"/>
        <w:tblCellMar>
          <w:top w:w="28" w:type="dxa"/>
          <w:left w:w="28" w:type="dxa"/>
          <w:bottom w:w="28" w:type="dxa"/>
          <w:right w:w="28" w:type="dxa"/>
        </w:tblCellMar>
      </w:tblPr>
      <w:tblGrid>
        <w:gridCol w:w="805"/>
        <w:gridCol w:w="707"/>
        <w:gridCol w:w="709"/>
        <w:gridCol w:w="109"/>
        <w:gridCol w:w="109"/>
        <w:gridCol w:w="109"/>
        <w:gridCol w:w="769"/>
        <w:gridCol w:w="769"/>
        <w:gridCol w:w="773"/>
        <w:gridCol w:w="109"/>
        <w:gridCol w:w="109"/>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pPr>
            <w:r>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2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2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30, 2026, the registrant had 57,453,747 shares of common stock, $0.0001 par value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35025"/>
                <wp:effectExtent l="0" t="0" r="0" b="0"/>
                <wp:wrapNone/>
                <wp:docPr id="1" name="Frame1"/>
                <a:graphic xmlns:a="http://schemas.openxmlformats.org/drawingml/2006/main">
                  <a:graphicData uri="http://schemas.microsoft.com/office/word/2010/wordprocessingShape">
                    <wps:wsp>
                      <wps:cNvSpPr txBox="1"/>
                      <wps:spPr>
                        <a:xfrm>
                          <a:off x="0" y="0"/>
                          <a:ext cx="6480175" cy="835025"/>
                        </a:xfrm>
                        <a:prstGeom prst="rect"/>
                        <a:solidFill>
                          <a:srgbClr val="FFFFFF"/>
                        </a:solidFill>
                      </wps:spPr>
                      <wps:txbx>
                        <w:txbxContent>
                          <w:p>
                            <w:pPr>
                              <w:pStyle w:val="TextBody"/>
                              <w:bidi w:val="0"/>
                              <w:spacing w:before="240" w:after="283"/>
                              <w:jc w:val="left"/>
                              <w:rPr/>
                            </w:pPr>
                            <w:r>
                              <w:rPr/>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p>
                      <w:pPr>
                        <w:pStyle w:val="TextBody"/>
                        <w:bidi w:val="0"/>
                        <w:spacing w:before="240" w:after="283"/>
                        <w:jc w:val="left"/>
                        <w:rPr/>
                      </w:pPr>
                      <w:r>
                        <w:rPr/>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300" w:after="283"/>
        <w:jc w:val="center"/>
        <w:rPr>
          <w:rFonts w:ascii="Times New Roman;serif" w:hAnsi="Times New Roman;serif"/>
          <w:b/>
          <w:color w:val="000000"/>
          <w:sz w:val="22"/>
        </w:rPr>
      </w:pPr>
      <w:r>
        <w:rPr>
          <w:rFonts w:ascii="Times New Roman;serif" w:hAnsi="Times New Roman;serif"/>
          <w:b/>
          <w:color w:val="000000"/>
          <w:sz w:val="22"/>
        </w:rPr>
        <w:t>SPECIAL NOTE REGARDING FORWARD-LOOKING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Quarterly Report on Form 10-Q (this Quarterly Report) contains forward-looking statements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Quarterly Report are forward-looking statements. In some cases, you can identify forward-looking statements by terminology such as “may”, “will”, “could”,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progress, timing and success of our clinical trials of silevertinib and any of our future product candidates, including the availability, timing and announcement of data and results of such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ability to obtain and maintain regulatory approval for silevertinib or any of our future product candidates that we may identify or develop;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scope, timing, progress and results of our clinical trials and investigational new drug (IND) applications, development efforts and other regulatory submissions;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effects of competition with respect to silevertinib or any of our other current or future product candidates, as well as innovations by current and future competitors in our industry;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evaluation of potential partnership opportunities to advance the pivotal development of silevertinib in a timely manner and to successfully execute and realize the intended and potential benefits of any such potential partnership;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partnership with Servier Pharmaceuticals LLC (Servier) and the intended and potential benefits thereof, including the receipt of potential development and commercial milestone payments, along with tiered royalties based on global net sales,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Servier’s ability to develop and commercialize BDTX-4933 (also known as S241656);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evaluation of strategic alternatives for BDTX-4876, including our ability to execute and realize the anticipated benefits of any strategic alternatives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ability to develop our current and future product candidates for the treatment of various cancers;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rate and degree of market acceptance and clinical utility for any current or future product candidates we may develop;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implementation of our strategic plans for our business and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intellectual property position, including the scope of protection we are able to establish, maintain and enforce for intellectual property rights covering our product candidates and Mutation-Allostery-Pharmacology (MAP) drug discovery engine;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ability to obtain additional funding for our operations, when needed, including funding necessary to complete further development and commercialization of our product candidates, if approved;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period over which we expect our existing cash, cash equivalents and investments will be sufficient to fund our operating expenses and capital expenditure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accuracy of our estimates regarding expenses, future revenue, capital requirements and needs for additional financing;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future financial performance and our ability to effectively manage our anticipated growth;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our estimates regarding the market opportunities for our product candidates, including our competitive position and the success of competing therapies that are or may become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13055"/>
                <wp:effectExtent l="0" t="0" r="0" b="0"/>
                <wp:wrapNone/>
                <wp:docPr id="2" name="Frame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need for and ability to attract and retain key scientific, management and other personnel and to identify, hire and retain additional qualified professionals;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potential for our business development efforts to maximize the value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size and growth potential of the markets for our product candidates, and our ability to serve those markets, either alone or in partnership with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ability to establish or maintain collaborations or strategic relationships, the ability and willingness of our third-party strategic collaborators to undertake research and development activities relating to our current or future product candidates, and the achievement of milestones or occurrence of other developments that trigger payments under any collaboration agreements,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ability to maintain an effective system of internal controls;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impact of macroeconomic and geopolitical developments on our business, including inflationary pressures and capital market disruptions, interest rate fluctuations, changes in or disruptions of U.S. governmental agencies, whether from a U.S. federal government shutdown, reduced resources or shifting policy priorities, new or increased international tariffs and retaliatory tariffs, new laws and regulations or amendments to existing laws and regulations in the U.S. and foreign countries, trade protection measures, military conflicts, such as the ongoing conflicts between Russia and Ukraine, U.S. and Iran, and in the Middle East, economic sanctions and economic slowdowns or recessions that may result from such developments which could harm our research and development efforts as well as the value of our common stock and our ability to access capital markets.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our most recent Annual Report on Form 10-K for the year ended December 31, 2025 (the Annual Report) and in other Securities and Exchange Commission (SEC) filings.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 could materially and adversely affect our business, prospects, financial condition and results of operations. Some of these risks and uncertainties may in the future be amplified by global health crises, macroeconomic conditions and geopolitical developments, and there may be additional risks that we consider immaterial or which are unknown. It is not possible to predict or identify all such risks.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13055"/>
                <wp:effectExtent l="0" t="0" r="0" b="0"/>
                <wp:wrapNone/>
                <wp:docPr id="3" name="Frame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In this Quarterly Report, the terms “Black Diamond Therapeutics”, “Black Diamond”, the “Company”, “we”, “us”, “our” and similar designations refer to Black Diamond Therapeutics, Inc. and, where appropriate, our wholly-owned subsidiary.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13055"/>
                <wp:effectExtent l="0" t="0" r="0" b="0"/>
                <wp:wrapNone/>
                <wp:docPr id="4"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9810" w:type="dxa"/>
        <w:jc w:val="center"/>
        <w:tblInd w:w="0" w:type="dxa"/>
        <w:tblLayout w:type="fixed"/>
        <w:tblCellMar>
          <w:top w:w="28" w:type="dxa"/>
          <w:left w:w="28" w:type="dxa"/>
          <w:bottom w:w="28" w:type="dxa"/>
          <w:right w:w="28" w:type="dxa"/>
        </w:tblCellMar>
      </w:tblPr>
      <w:tblGrid>
        <w:gridCol w:w="3334"/>
        <w:gridCol w:w="2932"/>
        <w:gridCol w:w="2943"/>
        <w:gridCol w:w="176"/>
        <w:gridCol w:w="176"/>
        <w:gridCol w:w="249"/>
      </w:tblGrid>
      <w:tr>
        <w:trPr/>
        <w:tc>
          <w:tcPr>
            <w:tcW w:w="3334"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20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center"/>
              <w:rPr/>
            </w:pPr>
            <w:hyperlink w:anchor="i5d5b1446b15a434ebf3473ce42ef8970_13">
              <w:r>
                <w:rPr>
                  <w:rStyle w:val="InternetLink"/>
                  <w:rFonts w:ascii="Times New Roman;serif" w:hAnsi="Times New Roman;serif"/>
                  <w:b w:val="false"/>
                  <w:strike w:val="false"/>
                  <w:dstrike w:val="false"/>
                  <w:color w:val="0000FF"/>
                  <w:sz w:val="22"/>
                  <w:u w:val="none"/>
                  <w:effect w:val="none"/>
                </w:rPr>
                <w:t>PART I</w:t>
              </w:r>
            </w:hyperlink>
            <w:r>
              <w:rPr>
                <w:rFonts w:ascii="Times New Roman;serif" w:hAnsi="Times New Roman;serif"/>
                <w:b w:val="false"/>
                <w:color w:val="0000FF"/>
                <w:sz w:val="22"/>
              </w:rPr>
              <w:t xml:space="preserve"> - FINANCIAL INFORMATION</w:t>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5d5b1446b15a434ebf3473ce42ef8970_13">
              <w:r>
                <w:rPr>
                  <w:rStyle w:val="InternetLink"/>
                  <w:rFonts w:ascii="Times New Roman;serif" w:hAnsi="Times New Roman;serif"/>
                  <w:b w:val="false"/>
                  <w:strike w:val="false"/>
                  <w:dstrike w:val="false"/>
                  <w:color w:val="0000FF"/>
                  <w:sz w:val="22"/>
                  <w:u w:val="none"/>
                  <w:effect w:val="none"/>
                </w:rPr>
                <w:t>6</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13">
              <w:r>
                <w:rPr>
                  <w:rStyle w:val="InternetLink"/>
                  <w:rFonts w:ascii="Times New Roman;serif" w:hAnsi="Times New Roman;serif"/>
                  <w:b w:val="false"/>
                  <w:strike w:val="false"/>
                  <w:dstrike w:val="false"/>
                  <w:color w:val="0000FF"/>
                  <w:sz w:val="22"/>
                  <w:u w:val="none"/>
                  <w:effect w:val="none"/>
                </w:rPr>
                <w:t>Item 1. Condensed Consolidated Financial Statements (Unaudited)</w:t>
              </w:r>
            </w:hyperlink>
          </w:p>
        </w:tc>
        <w:tc>
          <w:tcPr>
            <w:tcW w:w="601" w:type="dxa"/>
            <w:gridSpan w:val="3"/>
            <w:tcBorders/>
            <w:tcMar>
              <w:top w:w="0" w:type="dxa"/>
              <w:left w:w="0" w:type="dxa"/>
              <w:bottom w:w="0" w:type="dxa"/>
              <w:right w:w="0" w:type="dxa"/>
            </w:tcMar>
            <w:vAlign w:val="center"/>
          </w:tcPr>
          <w:p>
            <w:pPr>
              <w:pStyle w:val="TableContents"/>
              <w:bidi w:val="0"/>
              <w:spacing w:lineRule="auto" w:line="333" w:before="0" w:after="0"/>
              <w:jc w:val="right"/>
              <w:rPr/>
            </w:pPr>
            <w:hyperlink w:anchor="i5d5b1446b15a434ebf3473ce42ef8970_13">
              <w:r>
                <w:rPr>
                  <w:rStyle w:val="InternetLink"/>
                  <w:rFonts w:ascii="Times New Roman;serif" w:hAnsi="Times New Roman;serif"/>
                  <w:b w:val="false"/>
                  <w:strike w:val="false"/>
                  <w:dstrike w:val="false"/>
                  <w:color w:val="0000FF"/>
                  <w:sz w:val="22"/>
                  <w:u w:val="none"/>
                  <w:effect w:val="none"/>
                </w:rPr>
                <w:t>6</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16">
              <w:r>
                <w:rPr>
                  <w:rStyle w:val="InternetLink"/>
                  <w:rFonts w:ascii="Times New Roman;serif" w:hAnsi="Times New Roman;serif"/>
                  <w:b w:val="false"/>
                  <w:strike w:val="false"/>
                  <w:dstrike w:val="false"/>
                  <w:color w:val="0000FF"/>
                  <w:sz w:val="22"/>
                  <w:u w:val="none"/>
                  <w:effect w:val="non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6">
              <w:r>
                <w:rPr>
                  <w:rStyle w:val="InternetLink"/>
                  <w:rFonts w:ascii="Times New Roman;serif" w:hAnsi="Times New Roman;serif"/>
                  <w:b w:val="false"/>
                  <w:strike w:val="false"/>
                  <w:dstrike w:val="false"/>
                  <w:color w:val="0000FF"/>
                  <w:sz w:val="22"/>
                  <w:u w:val="none"/>
                  <w:effect w:val="none"/>
                </w:rPr>
                <w:t>6</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19">
              <w:r>
                <w:rPr>
                  <w:rStyle w:val="InternetLink"/>
                  <w:rFonts w:ascii="Times New Roman;serif" w:hAnsi="Times New Roman;serif"/>
                  <w:b w:val="false"/>
                  <w:strike w:val="false"/>
                  <w:dstrike w:val="false"/>
                  <w:color w:val="000080"/>
                  <w:sz w:val="22"/>
                  <w:u w:val="single"/>
                  <w:effect w:val="none"/>
                </w:rPr>
                <w:t xml:space="preserve">Condensed Consolidated Statements of Operations and Comprehensive </w:t>
              </w:r>
            </w:hyperlink>
            <w:hyperlink w:anchor="i5d5b1446b15a434ebf3473ce42ef8970_19">
              <w:r>
                <w:rPr>
                  <w:rStyle w:val="InternetLink"/>
                  <w:rFonts w:ascii="Times New Roman;serif" w:hAnsi="Times New Roman;serif"/>
                  <w:b w:val="false"/>
                  <w:strike w:val="false"/>
                  <w:dstrike w:val="false"/>
                  <w:color w:val="000080"/>
                  <w:sz w:val="22"/>
                  <w:u w:val="single"/>
                  <w:effect w:val="none"/>
                </w:rPr>
                <w:t>Income (</w:t>
              </w:r>
            </w:hyperlink>
            <w:hyperlink w:anchor="i5d5b1446b15a434ebf3473ce42ef8970_19">
              <w:r>
                <w:rPr>
                  <w:rStyle w:val="InternetLink"/>
                  <w:rFonts w:ascii="Times New Roman;serif" w:hAnsi="Times New Roman;serif"/>
                  <w:b w:val="false"/>
                  <w:strike w:val="false"/>
                  <w:dstrike w:val="false"/>
                  <w:color w:val="000080"/>
                  <w:sz w:val="22"/>
                  <w:u w:val="single"/>
                  <w:effect w:val="none"/>
                </w:rPr>
                <w:t>Los</w:t>
              </w:r>
            </w:hyperlink>
            <w:hyperlink w:anchor="i5d5b1446b15a434ebf3473ce42ef8970_19">
              <w:r>
                <w:rPr>
                  <w:rStyle w:val="InternetLink"/>
                  <w:rFonts w:ascii="Times New Roman;serif" w:hAnsi="Times New Roman;serif"/>
                  <w:b w:val="false"/>
                  <w:strike w:val="false"/>
                  <w:dstrike w:val="false"/>
                  <w:color w:val="000080"/>
                  <w:sz w:val="22"/>
                  <w:u w:val="single"/>
                  <w:effect w:val="none"/>
                </w:rPr>
                <w:t>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9">
              <w:r>
                <w:rPr>
                  <w:rStyle w:val="InternetLink"/>
                  <w:rFonts w:ascii="Times New Roman;serif" w:hAnsi="Times New Roman;serif"/>
                  <w:b w:val="false"/>
                  <w:strike w:val="false"/>
                  <w:dstrike w:val="false"/>
                  <w:color w:val="0000FF"/>
                  <w:sz w:val="22"/>
                  <w:u w:val="none"/>
                  <w:effect w:val="none"/>
                </w:rPr>
                <w:t>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22">
              <w:r>
                <w:rPr>
                  <w:rStyle w:val="InternetLink"/>
                  <w:rFonts w:ascii="Times New Roman;serif" w:hAnsi="Times New Roman;serif"/>
                  <w:b w:val="false"/>
                  <w:strike w:val="false"/>
                  <w:dstrike w:val="false"/>
                  <w:color w:val="0000FF"/>
                  <w:sz w:val="22"/>
                  <w:u w:val="none"/>
                  <w:effect w:val="non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22">
              <w:r>
                <w:rPr>
                  <w:rStyle w:val="InternetLink"/>
                  <w:rFonts w:ascii="Times New Roman;serif" w:hAnsi="Times New Roman;serif"/>
                  <w:b w:val="false"/>
                  <w:strike w:val="false"/>
                  <w:dstrike w:val="false"/>
                  <w:color w:val="0000FF"/>
                  <w:sz w:val="22"/>
                  <w:u w:val="none"/>
                  <w:effect w:val="none"/>
                </w:rPr>
                <w:t>8</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25">
              <w:r>
                <w:rPr>
                  <w:rStyle w:val="InternetLink"/>
                  <w:rFonts w:ascii="Times New Roman;serif" w:hAnsi="Times New Roman;serif"/>
                  <w:b w:val="false"/>
                  <w:strike w:val="false"/>
                  <w:dstrike w:val="false"/>
                  <w:color w:val="0000FF"/>
                  <w:sz w:val="22"/>
                  <w:u w:val="none"/>
                  <w:effect w:val="none"/>
                </w:rPr>
                <w:t>Condensed Consolidated Statements of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25">
              <w:r>
                <w:rPr>
                  <w:rStyle w:val="InternetLink"/>
                  <w:rFonts w:ascii="Times New Roman;serif" w:hAnsi="Times New Roman;serif"/>
                  <w:b w:val="false"/>
                  <w:strike w:val="false"/>
                  <w:dstrike w:val="false"/>
                  <w:color w:val="0000FF"/>
                  <w:sz w:val="22"/>
                  <w:u w:val="none"/>
                  <w:effect w:val="none"/>
                </w:rPr>
                <w:t>9</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28">
              <w:r>
                <w:rPr>
                  <w:rStyle w:val="InternetLink"/>
                  <w:rFonts w:ascii="Times New Roman;serif" w:hAnsi="Times New Roman;serif"/>
                  <w:b w:val="false"/>
                  <w:strike w:val="false"/>
                  <w:dstrike w:val="false"/>
                  <w:color w:val="0000FF"/>
                  <w:sz w:val="22"/>
                  <w:u w:val="none"/>
                  <w:effect w:val="none"/>
                </w:rPr>
                <w:t>Notes to Unaudited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28">
              <w:r>
                <w:rPr>
                  <w:rStyle w:val="InternetLink"/>
                  <w:rFonts w:ascii="Times New Roman;serif" w:hAnsi="Times New Roman;serif"/>
                  <w:b w:val="false"/>
                  <w:strike w:val="false"/>
                  <w:dstrike w:val="false"/>
                  <w:color w:val="0000FF"/>
                  <w:sz w:val="22"/>
                  <w:u w:val="none"/>
                  <w:effect w:val="none"/>
                </w:rPr>
                <w:t>10</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left"/>
              <w:rPr/>
            </w:pPr>
            <w:hyperlink w:anchor="i5d5b1446b15a434ebf3473ce42ef8970_70">
              <w:r>
                <w:rPr>
                  <w:rStyle w:val="InternetLink"/>
                  <w:rFonts w:ascii="Times New Roman;serif" w:hAnsi="Times New Roman;serif"/>
                  <w:b w:val="false"/>
                  <w:strike w:val="false"/>
                  <w:dstrike w:val="false"/>
                  <w:color w:val="0000FF"/>
                  <w:sz w:val="22"/>
                  <w:u w:val="none"/>
                  <w:effect w:val="none"/>
                </w:rPr>
                <w:t>Item 2. 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70">
              <w:r>
                <w:rPr>
                  <w:rStyle w:val="InternetLink"/>
                  <w:rFonts w:ascii="Times New Roman;serif" w:hAnsi="Times New Roman;serif"/>
                  <w:b w:val="false"/>
                  <w:strike w:val="false"/>
                  <w:dstrike w:val="false"/>
                  <w:color w:val="0000FF"/>
                  <w:sz w:val="22"/>
                  <w:u w:val="none"/>
                  <w:effect w:val="none"/>
                </w:rPr>
                <w:t>22</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left"/>
              <w:rPr/>
            </w:pPr>
            <w:hyperlink w:anchor="i5d5b1446b15a434ebf3473ce42ef8970_97">
              <w:r>
                <w:rPr>
                  <w:rStyle w:val="InternetLink"/>
                  <w:rFonts w:ascii="Times New Roman;serif" w:hAnsi="Times New Roman;serif"/>
                  <w:b w:val="false"/>
                  <w:strike w:val="false"/>
                  <w:dstrike w:val="false"/>
                  <w:color w:val="0000FF"/>
                  <w:sz w:val="22"/>
                  <w:u w:val="none"/>
                  <w:effect w:val="none"/>
                </w:rPr>
                <w:t>Item 3. 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97">
              <w:r>
                <w:rPr>
                  <w:rStyle w:val="InternetLink"/>
                  <w:rFonts w:ascii="Times New Roman;serif" w:hAnsi="Times New Roman;serif"/>
                  <w:b w:val="false"/>
                  <w:strike w:val="false"/>
                  <w:dstrike w:val="false"/>
                  <w:color w:val="0000FF"/>
                  <w:sz w:val="22"/>
                  <w:u w:val="none"/>
                  <w:effect w:val="none"/>
                </w:rPr>
                <w:t>35</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left"/>
              <w:rPr/>
            </w:pPr>
            <w:hyperlink w:anchor="i5d5b1446b15a434ebf3473ce42ef8970_100">
              <w:r>
                <w:rPr>
                  <w:rStyle w:val="InternetLink"/>
                  <w:rFonts w:ascii="Times New Roman;serif" w:hAnsi="Times New Roman;serif"/>
                  <w:b w:val="false"/>
                  <w:strike w:val="false"/>
                  <w:dstrike w:val="false"/>
                  <w:color w:val="0000FF"/>
                  <w:sz w:val="22"/>
                  <w:u w:val="none"/>
                  <w:effect w:val="none"/>
                </w:rPr>
                <w:t>Item 4. 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00">
              <w:r>
                <w:rPr>
                  <w:rStyle w:val="InternetLink"/>
                  <w:rFonts w:ascii="Times New Roman;serif" w:hAnsi="Times New Roman;serif"/>
                  <w:b w:val="false"/>
                  <w:strike w:val="false"/>
                  <w:dstrike w:val="false"/>
                  <w:color w:val="0000FF"/>
                  <w:sz w:val="22"/>
                  <w:u w:val="none"/>
                  <w:effect w:val="none"/>
                </w:rPr>
                <w:t>36</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center"/>
              <w:rPr/>
            </w:pPr>
            <w:hyperlink w:anchor="i5d5b1446b15a434ebf3473ce42ef8970_103">
              <w:r>
                <w:rPr>
                  <w:rStyle w:val="InternetLink"/>
                  <w:rFonts w:ascii="Times New Roman;serif" w:hAnsi="Times New Roman;serif"/>
                  <w:b w:val="false"/>
                  <w:strike w:val="false"/>
                  <w:dstrike w:val="false"/>
                  <w:color w:val="0000FF"/>
                  <w:sz w:val="22"/>
                  <w:u w:val="none"/>
                  <w:effect w:val="none"/>
                </w:rPr>
                <w:t>PART II</w:t>
              </w:r>
            </w:hyperlink>
            <w:r>
              <w:rPr>
                <w:rFonts w:ascii="Times New Roman;serif" w:hAnsi="Times New Roman;serif"/>
                <w:b w:val="false"/>
                <w:color w:val="0000FF"/>
                <w:sz w:val="22"/>
              </w:rPr>
              <w:t xml:space="preserve"> - OTHER INFORMATION</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03">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106">
              <w:r>
                <w:rPr>
                  <w:rStyle w:val="InternetLink"/>
                  <w:rFonts w:ascii="Times New Roman;serif" w:hAnsi="Times New Roman;serif"/>
                  <w:b w:val="false"/>
                  <w:strike w:val="false"/>
                  <w:dstrike w:val="false"/>
                  <w:color w:val="0000FF"/>
                  <w:sz w:val="22"/>
                  <w:u w:val="none"/>
                  <w:effect w:val="none"/>
                </w:rPr>
                <w:t>Item 1. 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06">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5d5b1446b15a434ebf3473ce42ef8970_109">
              <w:r>
                <w:rPr>
                  <w:rStyle w:val="InternetLink"/>
                  <w:rFonts w:ascii="Times New Roman;serif" w:hAnsi="Times New Roman;serif"/>
                  <w:b w:val="false"/>
                  <w:strike w:val="false"/>
                  <w:dstrike w:val="false"/>
                  <w:color w:val="0000FF"/>
                  <w:sz w:val="22"/>
                  <w:u w:val="none"/>
                  <w:effect w:val="none"/>
                </w:rPr>
                <w:t>Item 1A. 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09">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5b1446b15a434ebf3473ce42ef8970_112">
              <w:r>
                <w:rPr>
                  <w:rStyle w:val="InternetLink"/>
                  <w:rFonts w:ascii="Times New Roman;serif" w:hAnsi="Times New Roman;serif"/>
                  <w:b w:val="false"/>
                  <w:strike w:val="false"/>
                  <w:dstrike w:val="false"/>
                  <w:color w:val="000080"/>
                  <w:sz w:val="22"/>
                  <w:u w:val="single"/>
                  <w:effect w:val="none"/>
                </w:rPr>
                <w:t>Item 2. Unregistered Sales of Equity Securities</w:t>
              </w:r>
            </w:hyperlink>
            <w:hyperlink w:anchor="i5d5b1446b15a434ebf3473ce42ef8970_112">
              <w:r>
                <w:rPr>
                  <w:rStyle w:val="InternetLink"/>
                  <w:rFonts w:ascii="Times New Roman;serif" w:hAnsi="Times New Roman;serif"/>
                  <w:b w:val="false"/>
                  <w:strike w:val="false"/>
                  <w:dstrike w:val="false"/>
                  <w:color w:val="000080"/>
                  <w:sz w:val="22"/>
                  <w:u w:val="single"/>
                  <w:effect w:val="none"/>
                </w:rPr>
                <w:t xml:space="preserve"> and</w:t>
              </w:r>
            </w:hyperlink>
            <w:hyperlink w:anchor="i5d5b1446b15a434ebf3473ce42ef8970_112">
              <w:r>
                <w:rPr>
                  <w:rStyle w:val="InternetLink"/>
                  <w:rFonts w:ascii="Times New Roman;serif" w:hAnsi="Times New Roman;serif"/>
                  <w:b w:val="false"/>
                  <w:strike w:val="false"/>
                  <w:dstrike w:val="false"/>
                  <w:color w:val="000080"/>
                  <w:sz w:val="22"/>
                  <w:u w:val="single"/>
                  <w:effect w:val="none"/>
                </w:rPr>
                <w:t xml:space="preserve">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12">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5b1446b15a434ebf3473ce42ef8970_115">
              <w:r>
                <w:rPr>
                  <w:rStyle w:val="InternetLink"/>
                  <w:rFonts w:ascii="Times New Roman;serif" w:hAnsi="Times New Roman;serif"/>
                  <w:b w:val="false"/>
                  <w:strike w:val="false"/>
                  <w:dstrike w:val="false"/>
                  <w:color w:val="0000FF"/>
                  <w:sz w:val="22"/>
                  <w:u w:val="none"/>
                  <w:effect w:val="none"/>
                </w:rPr>
                <w:t>Item 3. 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15">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left"/>
              <w:rPr/>
            </w:pPr>
            <w:hyperlink w:anchor="i5d5b1446b15a434ebf3473ce42ef8970_118">
              <w:r>
                <w:rPr>
                  <w:rStyle w:val="InternetLink"/>
                  <w:rFonts w:ascii="Times New Roman;serif" w:hAnsi="Times New Roman;serif"/>
                  <w:b w:val="false"/>
                  <w:strike w:val="false"/>
                  <w:dstrike w:val="false"/>
                  <w:color w:val="0000FF"/>
                  <w:sz w:val="22"/>
                  <w:u w:val="none"/>
                  <w:effect w:val="none"/>
                </w:rPr>
                <w:t>Item 4. 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18">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40" w:after="40"/>
              <w:jc w:val="left"/>
              <w:rPr/>
            </w:pPr>
            <w:hyperlink w:anchor="i5d5b1446b15a434ebf3473ce42ef8970_121">
              <w:r>
                <w:rPr>
                  <w:rStyle w:val="InternetLink"/>
                  <w:rFonts w:ascii="Times New Roman;serif" w:hAnsi="Times New Roman;serif"/>
                  <w:b w:val="false"/>
                  <w:strike w:val="false"/>
                  <w:dstrike w:val="false"/>
                  <w:color w:val="0000FF"/>
                  <w:sz w:val="22"/>
                  <w:u w:val="none"/>
                  <w:effect w:val="none"/>
                </w:rPr>
                <w:t>Item 5. 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21">
              <w:r>
                <w:rPr>
                  <w:rStyle w:val="InternetLink"/>
                  <w:rFonts w:ascii="Times New Roman;serif" w:hAnsi="Times New Roman;serif"/>
                  <w:b w:val="false"/>
                  <w:strike w:val="false"/>
                  <w:dstrike w:val="false"/>
                  <w:color w:val="0000FF"/>
                  <w:sz w:val="22"/>
                  <w:u w:val="none"/>
                  <w:effect w:val="none"/>
                </w:rPr>
                <w:t>37</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5b1446b15a434ebf3473ce42ef8970_124">
              <w:r>
                <w:rPr>
                  <w:rStyle w:val="InternetLink"/>
                  <w:rFonts w:ascii="Times New Roman;serif" w:hAnsi="Times New Roman;serif"/>
                  <w:b w:val="false"/>
                  <w:strike w:val="false"/>
                  <w:dstrike w:val="false"/>
                  <w:color w:val="0000FF"/>
                  <w:sz w:val="22"/>
                  <w:u w:val="none"/>
                  <w:effect w:val="none"/>
                </w:rPr>
                <w:t>Item 6.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24">
              <w:r>
                <w:rPr>
                  <w:rStyle w:val="InternetLink"/>
                  <w:rFonts w:ascii="Times New Roman;serif" w:hAnsi="Times New Roman;serif"/>
                  <w:b w:val="false"/>
                  <w:strike w:val="false"/>
                  <w:dstrike w:val="false"/>
                  <w:color w:val="0000FF"/>
                  <w:sz w:val="22"/>
                  <w:u w:val="none"/>
                  <w:effect w:val="none"/>
                </w:rPr>
                <w:t>38</w:t>
              </w:r>
            </w:hyperlink>
          </w:p>
        </w:tc>
      </w:tr>
      <w:tr>
        <w:trPr/>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5b1446b15a434ebf3473ce42ef8970_127">
              <w:r>
                <w:rPr>
                  <w:rStyle w:val="InternetLink"/>
                  <w:rFonts w:ascii="Times New Roman;serif" w:hAnsi="Times New Roman;serif"/>
                  <w:b w:val="false"/>
                  <w:strike w:val="false"/>
                  <w:dstrike w:val="false"/>
                  <w:color w:val="0000FF"/>
                  <w:sz w:val="22"/>
                  <w:u w:val="none"/>
                  <w:effect w:val="non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5b1446b15a434ebf3473ce42ef8970_127">
              <w:r>
                <w:rPr>
                  <w:rStyle w:val="InternetLink"/>
                  <w:rFonts w:ascii="Times New Roman;serif" w:hAnsi="Times New Roman;serif"/>
                  <w:b w:val="false"/>
                  <w:strike w:val="false"/>
                  <w:dstrike w:val="false"/>
                  <w:color w:val="0000FF"/>
                  <w:sz w:val="22"/>
                  <w:u w:val="none"/>
                  <w:effect w:val="none"/>
                </w:rPr>
                <w:t>39</w:t>
              </w:r>
            </w:hyperlink>
          </w:p>
        </w:tc>
      </w:tr>
    </w:tbl>
    <w:p>
      <w:pPr>
        <w:pStyle w:val="TextBody"/>
        <w:bidi w:val="0"/>
        <w:spacing w:before="420" w:after="283"/>
        <w:jc w:val="left"/>
        <w:rPr/>
      </w:pPr>
      <w:r>
        <w:rPr/>
      </w:r>
    </w:p>
    <w:p>
      <w:pPr>
        <w:pStyle w:val="TextBody"/>
        <w:bidi w:val="0"/>
        <w:spacing w:lineRule="auto" w:line="288" w:before="420" w:after="283"/>
        <w:jc w:val="left"/>
        <w:rPr/>
      </w:pPr>
      <w:r>
        <w:rPr>
          <w:rFonts w:ascii="Times New Roman;serif" w:hAnsi="Times New Roman;serif"/>
          <w:b w:val="false"/>
          <w:color w:val="000000"/>
          <w:sz w:val="22"/>
        </w:rPr>
        <w:t xml:space="preserve">We have applied for various trademarks that we use in connection with the operation of our business. This Quarterly Report may also contain trademarks, service marks and trade names of third parties, which are the property of their respective owners. Our use or display of third parties’ trademarks, service marks, trade names or products in this Quarterly Report is not intended to, and does not, imply a relationship with, or endorsement or sponsorship by, us. Solely for convenience, the trademarks, service marks and trade names referred to in this Quarterly Report may appear without the ®, </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14"/>
        </w:rPr>
        <w:t>SM</w:t>
      </w:r>
      <w:r>
        <w:rPr>
          <w:color w:val="000000"/>
        </w:rPr>
        <w:t xml:space="preserve"> </w:t>
      </w:r>
      <w:r>
        <w:rPr>
          <w:rFonts w:ascii="Times New Roman;serif" w:hAnsi="Times New Roman;serif"/>
          <w:b w:val="false"/>
          <w:color w:val="000000"/>
          <w:sz w:val="22"/>
        </w:rPr>
        <w:t>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Black Diamond Therapeutics,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58"/>
        <w:gridCol w:w="2215"/>
        <w:gridCol w:w="2158"/>
        <w:gridCol w:w="226"/>
        <w:gridCol w:w="946"/>
        <w:gridCol w:w="109"/>
        <w:gridCol w:w="109"/>
        <w:gridCol w:w="109"/>
        <w:gridCol w:w="109"/>
        <w:gridCol w:w="232"/>
        <w:gridCol w:w="973"/>
        <w:gridCol w:w="161"/>
      </w:tblGrid>
      <w:tr>
        <w:trPr/>
        <w:tc>
          <w:tcPr>
            <w:tcW w:w="285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1"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As of</w:t>
            </w:r>
          </w:p>
        </w:tc>
      </w:tr>
      <w:tr>
        <w:trPr/>
        <w:tc>
          <w:tcPr>
            <w:tcW w:w="7231"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br/>
              <w:t>2025</w:t>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115,394 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132,440 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Right-of-use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non-current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143,010 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Liabilities and Stockholders' Equity</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Non-current operating lease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30,799 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 and contingencies (Note 11)</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Preferred stock, $0.0001 par value; 10,000,000 shares authorized at June 30, 2026 and December 31, 2025; no shares issued or outstanding at June 30, 2026 and December 31, 2025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Common stock; $0.0001 par value; 500,000,000 shares authorized at June 30, 2026 and December 31, 2025; 57,446,349 shares issued and outstanding at June 30, 2026 and 57,138,057 shares issued and outstanding at December 31, 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576,842 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(loss)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(464,740)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stockholders' equity</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112,211 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and stockholders' equity</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125,029 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143,010 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Black Diamond Therapeutics,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and Comprehensive Income (Loss)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34"/>
        <w:gridCol w:w="1118"/>
        <w:gridCol w:w="1105"/>
        <w:gridCol w:w="297"/>
        <w:gridCol w:w="949"/>
        <w:gridCol w:w="109"/>
        <w:gridCol w:w="109"/>
        <w:gridCol w:w="109"/>
        <w:gridCol w:w="109"/>
        <w:gridCol w:w="263"/>
        <w:gridCol w:w="983"/>
        <w:gridCol w:w="109"/>
        <w:gridCol w:w="109"/>
        <w:gridCol w:w="109"/>
        <w:gridCol w:w="109"/>
        <w:gridCol w:w="263"/>
        <w:gridCol w:w="983"/>
        <w:gridCol w:w="109"/>
        <w:gridCol w:w="109"/>
        <w:gridCol w:w="109"/>
        <w:gridCol w:w="109"/>
        <w:gridCol w:w="267"/>
        <w:gridCol w:w="979"/>
        <w:gridCol w:w="156"/>
      </w:tblGrid>
      <w:tr>
        <w:trPr/>
        <w:tc>
          <w:tcPr>
            <w:tcW w:w="153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375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 revenue</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expenses: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41,110 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 (expense):</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income (expense), net</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 basic</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basic</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56,803,450 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57,300,718 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56,734,010 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56,803,450 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57,300,718 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57,474,118 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 (loss):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Unrealized gain (loss) on investments,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(9,937)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45,932 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Black Diamond Therapeutics,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760"/>
        <w:gridCol w:w="2334"/>
        <w:gridCol w:w="2348"/>
        <w:gridCol w:w="226"/>
        <w:gridCol w:w="894"/>
        <w:gridCol w:w="109"/>
        <w:gridCol w:w="109"/>
        <w:gridCol w:w="109"/>
        <w:gridCol w:w="109"/>
        <w:gridCol w:w="226"/>
        <w:gridCol w:w="826"/>
        <w:gridCol w:w="155"/>
      </w:tblGrid>
      <w:tr>
        <w:trPr/>
        <w:tc>
          <w:tcPr>
            <w:tcW w:w="276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7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40" w:after="40"/>
              <w:jc w:val="left"/>
              <w:rPr/>
            </w:pPr>
            <w:r>
              <w:rPr/>
            </w:r>
          </w:p>
        </w:tc>
        <w:tc>
          <w:tcPr>
            <w:tcW w:w="1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Cash flows from operating activities: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 to reconcile net income (loss) to net cash used in operating activities: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expense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amortization on investments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(Gain) Loss on sale of investments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Noncash rent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(Gain) Loss on sale of equipment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current assets and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non-current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Non-current operating lease liabilities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operating activities</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44,251 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Cash flows from investing activities: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sale of equipment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sales and maturities of investments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Purchases of investments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(113,212)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investing activities</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(50,606)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Cash flows from financing activities: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exercise of common stock options and ESPP, net of restricted stock surrendered for taxes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financing activities</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(decrease) increase in cash and cash equivalents</w:t>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(6,439)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cash equivalents and restricted cash, beginning of period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Cash, cash equivalents and restricted cash, end of period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30,817 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end of period</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29,993 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 end of period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Cash, cash equivalents and restricted cash,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20,027 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30,817 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77"/>
        <w:gridCol w:w="461"/>
        <w:gridCol w:w="463"/>
        <w:gridCol w:w="540"/>
        <w:gridCol w:w="541"/>
        <w:gridCol w:w="196"/>
        <w:gridCol w:w="109"/>
        <w:gridCol w:w="109"/>
        <w:gridCol w:w="109"/>
        <w:gridCol w:w="223"/>
        <w:gridCol w:w="271"/>
        <w:gridCol w:w="115"/>
        <w:gridCol w:w="109"/>
        <w:gridCol w:w="109"/>
        <w:gridCol w:w="109"/>
        <w:gridCol w:w="211"/>
        <w:gridCol w:w="826"/>
        <w:gridCol w:w="109"/>
        <w:gridCol w:w="109"/>
        <w:gridCol w:w="109"/>
        <w:gridCol w:w="109"/>
        <w:gridCol w:w="409"/>
        <w:gridCol w:w="905"/>
        <w:gridCol w:w="212"/>
        <w:gridCol w:w="109"/>
        <w:gridCol w:w="109"/>
        <w:gridCol w:w="109"/>
        <w:gridCol w:w="218"/>
        <w:gridCol w:w="882"/>
        <w:gridCol w:w="112"/>
        <w:gridCol w:w="109"/>
        <w:gridCol w:w="109"/>
        <w:gridCol w:w="109"/>
        <w:gridCol w:w="211"/>
        <w:gridCol w:w="826"/>
        <w:gridCol w:w="162"/>
      </w:tblGrid>
      <w:tr>
        <w:trPr/>
        <w:tc>
          <w:tcPr>
            <w:tcW w:w="67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Black Diamond Therapeutics, Inc.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Stockholders' Equity (Unaudited)</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data)</w:t>
            </w:r>
          </w:p>
        </w:tc>
      </w:tr>
      <w:tr>
        <w:trPr/>
        <w:tc>
          <w:tcPr>
            <w:tcW w:w="1601"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18"/>
              </w:rPr>
            </w:pPr>
            <w:r>
              <w:rPr>
                <w:rFonts w:ascii="Times New Roman;serif" w:hAnsi="Times New Roman;serif"/>
                <w:b w:val="false"/>
                <w:color w:val="000000"/>
                <w:sz w:val="18"/>
              </w:rPr>
              <w:t>Additional</w:t>
            </w:r>
          </w:p>
          <w:p>
            <w:pPr>
              <w:pStyle w:val="TableContents"/>
              <w:bidi w:val="0"/>
              <w:spacing w:lineRule="auto" w:line="333" w:before="0" w:after="40"/>
              <w:jc w:val="center"/>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stockholders’</w:t>
            </w:r>
          </w:p>
          <w:p>
            <w:pPr>
              <w:pStyle w:val="TableContents"/>
              <w:bidi w:val="0"/>
              <w:spacing w:lineRule="auto" w:line="333" w:before="0" w:after="40"/>
              <w:jc w:val="center"/>
              <w:rPr>
                <w:rFonts w:ascii="Times New Roman;serif" w:hAnsi="Times New Roman;serif"/>
                <w:b w:val="false"/>
                <w:color w:val="000000"/>
                <w:sz w:val="18"/>
              </w:rPr>
            </w:pPr>
            <w:r>
              <w:rPr>
                <w:rFonts w:ascii="Times New Roman;serif" w:hAnsi="Times New Roman;serif"/>
                <w:b w:val="false"/>
                <w:color w:val="000000"/>
                <w:sz w:val="18"/>
              </w:rPr>
              <w:t>equity</w:t>
            </w:r>
          </w:p>
        </w:tc>
      </w:tr>
      <w:tr>
        <w:trPr/>
        <w:tc>
          <w:tcPr>
            <w:tcW w:w="1601"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56,644,655 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(487,107)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83,285 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56,676,716 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(430,565)</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141,516 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shares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56,886,939 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(441,126)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132,610 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04" w:type="dxa"/>
            <w:gridSpan w:val="33"/>
            <w:tcBorders/>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04" w:type="dxa"/>
            <w:gridSpan w:val="33"/>
            <w:tcBorders/>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526" w:type="dxa"/>
            <w:gridSpan w:val="6"/>
            <w:tcBorders/>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065" w:type="dxa"/>
            <w:gridSpan w:val="12"/>
            <w:tcBorders/>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57,138,057 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(464,740)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shares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57,301,774 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(473,776)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57,446,349 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(483,681)</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96,091 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Black Diamond Therapeutics,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 NATURE OF BUSINESS AND BASIS OF PRESENTATION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Black Diamond Therapeutics, Inc. (the Company) is a clinical-stage oncology company developing MasterKey therapies that target families of oncogenic mutations in patients with cancer, including silevertinib, a potential best-in-class brain-penetrant epidermal growth factor receptor (EGFR) inhibitor. The Company was originally organized as a limited liability company in December 2014 under the name ASET Therapeutics LLC. In September 2016, the Company was converted to a corporation under the laws of the State of Delaware under the name ASET Therapeutics, Inc. The Company changed its name to Black Diamond Therapeutics, Inc. in January 2018. Since its inception, the Company has devoted substantially all of its efforts to raising capital, obtaining financing and incurring research and development costs related to the development and advancement of its product candidates identified by its Mutation-Allostery-Pharmacology (MAP) drug discovery engine.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is subject to risks and uncertainties common to clinical-stage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On March 18, 2025, the Company entered into a global licensing agreement (the Servier Agreement) with Servier Pharmaceuticals LLC (Servier) for BDTX-4933, a small molecule designed by the Company to address unmet medical needs in RAF/RAS-mutant solid tumors, pursuant to which the Company granted to Servier a worldwide license to develop and commercialize BDTX-4933. Under the terms of the Servier Agreement, Servier will lead the development activities and the worldwide commercialization of BDTX-4933 across multiple indications, including non-small cell lung cancer (NSCLC), with potential applications in other solid tumors. Under the Servier Agreement, the Company received an upfront payment of $70.0 million in March 2025 and will be eligible to receive up to $710.0 million in development and commercial sales milestone payments, along with tiered royalties based on global net sales. The Servier Agreement is discussed in greater detail in Note 14, </w:t>
      </w:r>
      <w:r>
        <w:rPr>
          <w:rFonts w:ascii="Times New Roman;serif" w:hAnsi="Times New Roman;serif"/>
          <w:b w:val="false"/>
          <w:i/>
          <w:color w:val="000000"/>
          <w:sz w:val="22"/>
        </w:rPr>
        <w:t>License Revenue</w:t>
      </w:r>
      <w:r>
        <w:rPr>
          <w:rFonts w:ascii="Times New Roman;serif" w:hAnsi="Times New Roman;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2"/>
        </w:rPr>
        <w:t>On November 13, 2025, the Company filed a new shelf registration statement on Form S-3, including a base prospectus and sales agreement prospectus (the New Shelf Registration Statement), with the SEC, which covers the offering, issuance and sale of the Company’s common stock, preferred stock, debt securities, warrants and/or units of any combination thereof up to a maximum price of $500.0 million, including up to $150.0 million of shares of its common stock (the Shares) that may be offered, issued and sold under an Open Market Sale Agreement</w:t>
      </w:r>
      <w:r>
        <w:rPr>
          <w:rFonts w:ascii="Times New Roman;serif" w:hAnsi="Times New Roman;serif"/>
          <w:b w:val="false"/>
          <w:color w:val="000000"/>
          <w:sz w:val="14"/>
        </w:rPr>
        <w:t xml:space="preserve">SM </w:t>
      </w:r>
      <w:r>
        <w:rPr>
          <w:rFonts w:ascii="Times New Roman;serif" w:hAnsi="Times New Roman;serif"/>
          <w:b w:val="false"/>
          <w:color w:val="000000"/>
          <w:sz w:val="22"/>
        </w:rPr>
        <w:t>(the Sales Agreement) previously entered into with Jefferies LLC (Jefferies), as sales agent, on November 13, 2022 (the ATM Program). The New Shelf Registration Statement was filed to replace the Company’s prior shelf registration statement on Form S-3, originally filed with the SEC on November 14, 2022 and declared effective on November 22, 2022 (the Prior Shelf Registration Statement),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was deemed terminated as of the date of effectiveness of the New Shelf Registration Statement.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 As of June 30, 2026, the Company sold 4,490,853 shares of its common stock pursuant to the ATM Program, resulting in gross proceeds to the Company of approximately $25.0 million ($24.5 million net of offering costs).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accompanying condensed consolidated financial statements have been prepared on the basis of continuity of operations, realization of assets, and the satisfaction of liabilities and commitments in the ordinary course of business. Historically, the Company has funded its operations primarily with proceeds from sales of common stock and preferred stock, and through the $70.0 million upfront payment received under the Servier Agreement in March 2025. The Company has had recurring losses and negative cash flows from operations in substantially all periods since inception and had an accumulated deficit of $483.7 million as of June 30, 2026. The Company expects to continue to generate operating losses for the foreseeable future.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August 5, 2026, the issuance date of the condensed consolidated financial statements, the Company expects that its cash, cash equivalents and investments will be sufficient to fund its currently planned operations for at least the next 12 months from the filing date of these condensed consolidated financial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will seek additional funding through private or public equity financings, debt financings, collaborations, strategic alliances and marketing, distribution or licensing arrangements.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portfolio expansion or commercialization efforts, or reduce headcount and general and administrative costs,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2. SUMMARY OF SIGNIFICANT ACCOUNTING POLICIES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is a summary of significant accounting policies followed in the preparation of these condensed consolidated financial statements.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 xml:space="preserve">Principles of consolidation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accompanying condensed consolidated financial statements have been prepared in accordance with accounting principles generally accepted in the United States of America (GAAP) and include the accounts of the Company and its wholly owned subsidiary, Black Diamond Therapeutics Security Corporation, after elimination of all significant intercompany accounts and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Unaudited interim financial information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condensed consolidated financial statements of the Company included herein have been prepared, without audit, pursuant to the rules and regulations of the SEC. Certain information and footnote disclosures normally included in financial statements prepared in accordance with GAAP have been condensed or omitted from this Quarterly Report, as is permitted by such rules and regulations. Accordingly, these condensed consolidated financial statements should be read in conjunction with the audited consolidated financial statements and notes thereto included in the Company’s Annual Report on Form 10-K for the year ended December 31, 2025. In the opinion of the Company’s management, all adjustments (consisting of normal and recurring adjustments) considered necessary for a fair statement of the results for the interim periods presented have been included.</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preparation of the Company’s condensed consolidated financial statements in conformity with GAAP requires management to make estimates and assumptions that affect the reported amounts of assets and liabilities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The Company bases its estimates on historical experience, known trends and other market-specific or other relevant factors that it believes to be reasonable under the circumstances. Estimates are periodically reviewed in light of changes in circumstances, facts and experience. Changes in estimates are recorded in the period in which they become known. Actual results may differ from those estimates or assumptions.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continues to monitor the impact of macroeconomic developments and geopolitical developments, including political unrest, new or increased international tariffs and retaliatory tariffs, economic sanctions, inflationary pressures, interest rate fluctuations, disruptions in capital markets, changes in or disruptions of U.S. governmental agencies, whether from a U.S. federal government shutdown, reduced resources or shifting policy priorities, new laws and regulations or amendments to existing laws and regulations in the U.S. and foreign countries, international trade relationships and military conflicts, such as the ongoing conflicts between Russia and Ukraine, U.S. and Iran, and in the Middle East, on all aspects of its business, and has considered the impact of these factors on estimates within its financial statements. The extent to which future developments may impact the Company’s business, results of operations or financial condition are uncertain and cannot be predicted with confidence and there may be changes to estimates in future periods. As of the date of issuance of these condensed consolidated financial statements, the Company has not experienced material business disruptions or incurred impairment losses in the carrying value of its assets as a result of these factors and is not aware of any specific related event or circumstance that would require it to update its estimates.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Recently issued accounting pronouncements</w:t>
      </w:r>
    </w:p>
    <w:p>
      <w:pPr>
        <w:pStyle w:val="TextBody"/>
        <w:bidi w:val="0"/>
        <w:spacing w:lineRule="auto" w:line="288" w:before="240" w:after="283"/>
        <w:jc w:val="left"/>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Income – Expense Disaggregation Disclosures (Subtopic 220-40): Disaggregation of Income Statement Expenses</w:t>
      </w:r>
      <w:r>
        <w:rPr>
          <w:rFonts w:ascii="Times New Roman;serif" w:hAnsi="Times New Roman;serif"/>
          <w:b w:val="false"/>
          <w:color w:val="000000"/>
          <w:sz w:val="22"/>
        </w:rPr>
        <w:t>, which is intended to enhance transparency into the nature and function of expenses. The amendments require that on an annual and interim basis, entities disclose disaggregated operating expense information about specific categories, including purchases of inventory, employee compensation, depreciation, amortization and depletion. This guidance is effective for fiscal years beginning after December 15, 2026, and interim periods within fiscal years beginning after December 15, 2027. The Company will evaluate the impact of the guidance on its financial statements in advance of the adoption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3. FAIR VALUE MEASUREMENTS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tables present information about the Company’s financial assets and liabilities measured at fair value on a recurring basis and indicate the level of the fair value hierarchy used to determine such fair values: </w:t>
      </w:r>
    </w:p>
    <w:tbl>
      <w:tblPr>
        <w:tblW w:w="8064" w:type="dxa"/>
        <w:jc w:val="left"/>
        <w:tblInd w:w="0" w:type="dxa"/>
        <w:tblLayout w:type="fixed"/>
        <w:tblCellMar>
          <w:top w:w="28" w:type="dxa"/>
          <w:left w:w="28" w:type="dxa"/>
          <w:bottom w:w="28" w:type="dxa"/>
          <w:right w:w="28" w:type="dxa"/>
        </w:tblCellMar>
      </w:tblPr>
      <w:tblGrid>
        <w:gridCol w:w="950"/>
        <w:gridCol w:w="832"/>
        <w:gridCol w:w="842"/>
        <w:gridCol w:w="226"/>
        <w:gridCol w:w="826"/>
        <w:gridCol w:w="109"/>
        <w:gridCol w:w="109"/>
        <w:gridCol w:w="109"/>
        <w:gridCol w:w="109"/>
        <w:gridCol w:w="226"/>
        <w:gridCol w:w="826"/>
        <w:gridCol w:w="109"/>
        <w:gridCol w:w="109"/>
        <w:gridCol w:w="109"/>
        <w:gridCol w:w="109"/>
        <w:gridCol w:w="247"/>
        <w:gridCol w:w="444"/>
        <w:gridCol w:w="120"/>
        <w:gridCol w:w="109"/>
        <w:gridCol w:w="109"/>
        <w:gridCol w:w="109"/>
        <w:gridCol w:w="226"/>
        <w:gridCol w:w="94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54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Fair value measurements at June 30, 2026 using:</w:t>
            </w:r>
          </w:p>
        </w:tc>
      </w:tr>
      <w:tr>
        <w:trPr/>
        <w:tc>
          <w:tcPr>
            <w:tcW w:w="26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equivalents: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Commercial paper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bonds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U.S. Government agencies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109,427 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84" w:type="dxa"/>
        <w:jc w:val="left"/>
        <w:tblInd w:w="0" w:type="dxa"/>
        <w:tblLayout w:type="fixed"/>
        <w:tblCellMar>
          <w:top w:w="28" w:type="dxa"/>
          <w:left w:w="28" w:type="dxa"/>
          <w:bottom w:w="28" w:type="dxa"/>
          <w:right w:w="28" w:type="dxa"/>
        </w:tblCellMar>
      </w:tblPr>
      <w:tblGrid>
        <w:gridCol w:w="950"/>
        <w:gridCol w:w="832"/>
        <w:gridCol w:w="842"/>
        <w:gridCol w:w="226"/>
        <w:gridCol w:w="826"/>
        <w:gridCol w:w="109"/>
        <w:gridCol w:w="109"/>
        <w:gridCol w:w="109"/>
        <w:gridCol w:w="109"/>
        <w:gridCol w:w="226"/>
        <w:gridCol w:w="946"/>
        <w:gridCol w:w="109"/>
        <w:gridCol w:w="109"/>
        <w:gridCol w:w="109"/>
        <w:gridCol w:w="109"/>
        <w:gridCol w:w="247"/>
        <w:gridCol w:w="444"/>
        <w:gridCol w:w="120"/>
        <w:gridCol w:w="109"/>
        <w:gridCol w:w="109"/>
        <w:gridCol w:w="109"/>
        <w:gridCol w:w="226"/>
        <w:gridCol w:w="94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5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Fair value measurements at December 31, 2025 using:</w:t>
            </w:r>
          </w:p>
        </w:tc>
      </w:tr>
      <w:tr>
        <w:trPr/>
        <w:tc>
          <w:tcPr>
            <w:tcW w:w="26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40" w:after="40"/>
              <w:jc w:val="left"/>
              <w:rPr/>
            </w:pPr>
            <w:r>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equivalents: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Commercial paper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bonds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U.S. Government agencies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127,568 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There were no transfers in or out of Level 3 categories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4. INVESTMENTS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investments were comprised of the following:</w:t>
      </w:r>
    </w:p>
    <w:tbl>
      <w:tblPr>
        <w:tblW w:w="9264" w:type="dxa"/>
        <w:jc w:val="left"/>
        <w:tblInd w:w="0" w:type="dxa"/>
        <w:tblLayout w:type="fixed"/>
        <w:tblCellMar>
          <w:top w:w="28" w:type="dxa"/>
          <w:left w:w="28" w:type="dxa"/>
          <w:bottom w:w="28" w:type="dxa"/>
          <w:right w:w="28" w:type="dxa"/>
        </w:tblCellMar>
      </w:tblPr>
      <w:tblGrid>
        <w:gridCol w:w="952"/>
        <w:gridCol w:w="835"/>
        <w:gridCol w:w="838"/>
        <w:gridCol w:w="268"/>
        <w:gridCol w:w="982"/>
        <w:gridCol w:w="129"/>
        <w:gridCol w:w="109"/>
        <w:gridCol w:w="109"/>
        <w:gridCol w:w="109"/>
        <w:gridCol w:w="457"/>
        <w:gridCol w:w="820"/>
        <w:gridCol w:w="222"/>
        <w:gridCol w:w="109"/>
        <w:gridCol w:w="109"/>
        <w:gridCol w:w="109"/>
        <w:gridCol w:w="403"/>
        <w:gridCol w:w="975"/>
        <w:gridCol w:w="196"/>
        <w:gridCol w:w="109"/>
        <w:gridCol w:w="109"/>
        <w:gridCol w:w="109"/>
        <w:gridCol w:w="226"/>
        <w:gridCol w:w="82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Commercial paper</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17,063 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bonds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65,305 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U.S. Government agencies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91,380 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91,312 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December 31, 2025, investments were comprised of the following:</w:t>
      </w:r>
    </w:p>
    <w:tbl>
      <w:tblPr>
        <w:tblW w:w="9385" w:type="dxa"/>
        <w:jc w:val="left"/>
        <w:tblInd w:w="0" w:type="dxa"/>
        <w:tblLayout w:type="fixed"/>
        <w:tblCellMar>
          <w:top w:w="28" w:type="dxa"/>
          <w:left w:w="28" w:type="dxa"/>
          <w:bottom w:w="28" w:type="dxa"/>
          <w:right w:w="28" w:type="dxa"/>
        </w:tblCellMar>
      </w:tblPr>
      <w:tblGrid>
        <w:gridCol w:w="952"/>
        <w:gridCol w:w="835"/>
        <w:gridCol w:w="838"/>
        <w:gridCol w:w="243"/>
        <w:gridCol w:w="1019"/>
        <w:gridCol w:w="117"/>
        <w:gridCol w:w="109"/>
        <w:gridCol w:w="109"/>
        <w:gridCol w:w="109"/>
        <w:gridCol w:w="393"/>
        <w:gridCol w:w="916"/>
        <w:gridCol w:w="190"/>
        <w:gridCol w:w="109"/>
        <w:gridCol w:w="109"/>
        <w:gridCol w:w="109"/>
        <w:gridCol w:w="470"/>
        <w:gridCol w:w="876"/>
        <w:gridCol w:w="229"/>
        <w:gridCol w:w="109"/>
        <w:gridCol w:w="109"/>
        <w:gridCol w:w="109"/>
        <w:gridCol w:w="226"/>
        <w:gridCol w:w="94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Commercial paper</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14,878 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bonds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78,652 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U.S. Government agencies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107,561 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107,662 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all marketable securities held by the Company had remaining contractual maturities of three years or less.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December 31, 2025, all marketable securities held by the Company had remaining contractual maturities of three years or less.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reviewed its investment portfolio to assess the unrealized losses on its available-for-sale investments. The Company evaluated whether it intended to sell the security and whether it was more likely than not that the Company would be required to sell the security before recovering its amortized cost basis. The Company also determined no portion of the unrealized losses relate to a credit loss. There have been no impairments of the Company’s assets measured and carried at fair value during the six months ended June 30, 2026 and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5. PROPERTY AND EQUIPMENT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Property and equipment, net consisted of the following:</w:t>
      </w:r>
    </w:p>
    <w:tbl>
      <w:tblPr>
        <w:tblW w:w="6182" w:type="dxa"/>
        <w:jc w:val="left"/>
        <w:tblInd w:w="0" w:type="dxa"/>
        <w:tblLayout w:type="fixed"/>
        <w:tblCellMar>
          <w:top w:w="28" w:type="dxa"/>
          <w:left w:w="28" w:type="dxa"/>
          <w:bottom w:w="28" w:type="dxa"/>
          <w:right w:w="28" w:type="dxa"/>
        </w:tblCellMar>
      </w:tblPr>
      <w:tblGrid>
        <w:gridCol w:w="1211"/>
        <w:gridCol w:w="1066"/>
        <w:gridCol w:w="1068"/>
        <w:gridCol w:w="226"/>
        <w:gridCol w:w="706"/>
        <w:gridCol w:w="109"/>
        <w:gridCol w:w="109"/>
        <w:gridCol w:w="109"/>
        <w:gridCol w:w="109"/>
        <w:gridCol w:w="305"/>
        <w:gridCol w:w="955"/>
        <w:gridCol w:w="209"/>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br/>
              <w:t>2026</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br/>
              <w:t>2025</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Leasehold improvements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1,593 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and equipment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1,593 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Property and Equipment, net</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365 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Depreciation expense for the three and six months ended June 30, 2026 and 2025, was $28, $55, $86 and $173,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6. EQUITY METHOD INVESTMENT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 December 2022, the Company received 9,000,000 shares of common stock in a newly formed antibody-focused precision oncology company, Revelio Therapeutics, Inc. (Revelio), in exchange for contributing early discovery-stage antibody programs and granting Revelio a license to use its MAP drug discovery engine to discover, develop and commercialize large molecule therapeutics. As of December 31, 2025 and June 30, 2026, the Company had a voting interest in Revelio of 15.1% and 13.2%, respectively, and one seat on Revelio’s Board of Directors, which provide the Company with significant influence over Revelio. Other investors in Revelio include Versant Ventures and New Enterprise Associates (NEA), who are shareholders of the Company.</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accounted for the transaction under the equity method. As of June 30, 2026 and the year ended December 31, 2025, the carrying value of the investment in Revelio was zero. Since the Company has no obligation to provide financing support to Revelio, the Company is not required to record further losses exceeding the carrying value of the investment. The Company also determined that its investment in Revelio is not material or significant to its operations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3055"/>
                <wp:effectExtent l="0" t="0" r="0" b="0"/>
                <wp:wrapNone/>
                <wp:docPr id="14" name="Frame1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7. ACCRUED EXPENSES AND OTHER CURRENT LIABILITIES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w:t>
      </w:r>
    </w:p>
    <w:tbl>
      <w:tblPr>
        <w:tblW w:w="7952" w:type="dxa"/>
        <w:jc w:val="left"/>
        <w:tblInd w:w="0" w:type="dxa"/>
        <w:tblLayout w:type="fixed"/>
        <w:tblCellMar>
          <w:top w:w="28" w:type="dxa"/>
          <w:left w:w="28" w:type="dxa"/>
          <w:bottom w:w="28" w:type="dxa"/>
          <w:right w:w="28" w:type="dxa"/>
        </w:tblCellMar>
      </w:tblPr>
      <w:tblGrid>
        <w:gridCol w:w="1809"/>
        <w:gridCol w:w="1589"/>
        <w:gridCol w:w="1597"/>
        <w:gridCol w:w="226"/>
        <w:gridCol w:w="826"/>
        <w:gridCol w:w="109"/>
        <w:gridCol w:w="109"/>
        <w:gridCol w:w="109"/>
        <w:gridCol w:w="109"/>
        <w:gridCol w:w="275"/>
        <w:gridCol w:w="1007"/>
        <w:gridCol w:w="187"/>
      </w:tblGrid>
      <w:tr>
        <w:trPr/>
        <w:tc>
          <w:tcPr>
            <w:tcW w:w="180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br/>
              <w:t>2026</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br/>
              <w:t>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Contracted research services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7,951 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Payroll and related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Professional and consulting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operating lease liability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accrued expenses and other current liabilities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15,152 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8. STOCK-BASED COMPENSATION</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2020 Stock Option and Incentive Plan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2020 Stock Option and Incentive Plan (the 2020 Plan) was approved by the Company’s board of directors on December 5, 2019, and the Company’s stockholders on January 14, 2020 and became effective on the date immediately prior to the date on which the registration statement for the Company’s initial public offering (IPO) was declared effective.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2020 Plan provides for an annual increase, to be added on the first day of each fiscal year, by up to 4% of the Company’s outstanding shares of common stock as of the last day of the prior year. On January 1, 2026, 2,285,522 shares of common stock, representing 4% of the Company’s outstanding shares of common stock as of December 31, 2025, were added to the 2020 Plan.</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2020 Employee Stock Purchase Plan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2020 Employee Stock Purchase Plan (the 2020 ESPP) was approved by the Company’s board of directors on December 5, 2019, and the Company’s stockholders on January 14, 2020, and became effective on the date immediately prior to the date on which the registration statement for the Company’s IPO was declared effective. The 2020 ESPP provides for an annual increase, to be added on the first day of each fiscal year, by up to 1% of the number of shares of the Company’s common stock outstanding on the immediately preceding December 31. The number of authorized shares reserved for issuance under the 2020 ESPP was increased by 326,364 shares effective as of January 1, 2026.</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 xml:space="preserve">Stock-based compensation expense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recorded stock-based compensation expense in the following award type categories included within the condensed consolidated statements of operations and comprehensive loss:</w:t>
      </w:r>
    </w:p>
    <w:tbl>
      <w:tblPr>
        <w:tblW w:w="9195" w:type="dxa"/>
        <w:jc w:val="left"/>
        <w:tblInd w:w="0" w:type="dxa"/>
        <w:tblLayout w:type="fixed"/>
        <w:tblCellMar>
          <w:top w:w="28" w:type="dxa"/>
          <w:left w:w="28" w:type="dxa"/>
          <w:bottom w:w="28" w:type="dxa"/>
          <w:right w:w="28" w:type="dxa"/>
        </w:tblCellMar>
      </w:tblPr>
      <w:tblGrid>
        <w:gridCol w:w="1453"/>
        <w:gridCol w:w="1275"/>
        <w:gridCol w:w="127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center"/>
              <w:rPr/>
            </w:pPr>
            <w:r>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400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 options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Stock Purchase Plan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3055"/>
                <wp:effectExtent l="0" t="0" r="0" b="0"/>
                <wp:wrapNone/>
                <wp:docPr id="15" name="Frame1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the six months ended June 30, 2026, the Company issued 29,892 shares of common stock under its 2020 Plan in accordance with its policy where non-employee directors may elect to receive their compensation in the form of common stock in lieu of cash.</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recorded stock-based compensation expense in the following expense categories of its condensed consolidated statements of operations and comprehensive loss:</w:t>
      </w:r>
    </w:p>
    <w:tbl>
      <w:tblPr>
        <w:tblW w:w="7844" w:type="dxa"/>
        <w:jc w:val="left"/>
        <w:tblInd w:w="0" w:type="dxa"/>
        <w:tblLayout w:type="fixed"/>
        <w:tblCellMar>
          <w:top w:w="28" w:type="dxa"/>
          <w:left w:w="28" w:type="dxa"/>
          <w:bottom w:w="28" w:type="dxa"/>
          <w:right w:w="28" w:type="dxa"/>
        </w:tblCellMar>
      </w:tblPr>
      <w:tblGrid>
        <w:gridCol w:w="962"/>
        <w:gridCol w:w="844"/>
        <w:gridCol w:w="848"/>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center"/>
              <w:rPr/>
            </w:pPr>
            <w:r>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265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Options </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following table summarizes the stock option activity under the Company’s equity awards plans:</w:t>
      </w:r>
    </w:p>
    <w:tbl>
      <w:tblPr>
        <w:tblW w:w="10205" w:type="dxa"/>
        <w:jc w:val="left"/>
        <w:tblInd w:w="0" w:type="dxa"/>
        <w:tblLayout w:type="fixed"/>
        <w:tblCellMar>
          <w:top w:w="28" w:type="dxa"/>
          <w:left w:w="28" w:type="dxa"/>
          <w:bottom w:w="28" w:type="dxa"/>
          <w:right w:w="28" w:type="dxa"/>
        </w:tblCellMar>
      </w:tblPr>
      <w:tblGrid>
        <w:gridCol w:w="1508"/>
        <w:gridCol w:w="1324"/>
        <w:gridCol w:w="1330"/>
        <w:gridCol w:w="623"/>
        <w:gridCol w:w="623"/>
        <w:gridCol w:w="281"/>
        <w:gridCol w:w="109"/>
        <w:gridCol w:w="109"/>
        <w:gridCol w:w="109"/>
        <w:gridCol w:w="246"/>
        <w:gridCol w:w="640"/>
        <w:gridCol w:w="120"/>
        <w:gridCol w:w="109"/>
        <w:gridCol w:w="109"/>
        <w:gridCol w:w="109"/>
        <w:gridCol w:w="375"/>
        <w:gridCol w:w="375"/>
        <w:gridCol w:w="376"/>
        <w:gridCol w:w="109"/>
        <w:gridCol w:w="109"/>
        <w:gridCol w:w="109"/>
        <w:gridCol w:w="349"/>
        <w:gridCol w:w="813"/>
        <w:gridCol w:w="241"/>
      </w:tblGrid>
      <w:tr>
        <w:trPr/>
        <w:tc>
          <w:tcPr>
            <w:tcW w:w="150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Options</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2"/>
              </w:rPr>
            </w:pPr>
            <w:r>
              <w:rPr>
                <w:rFonts w:ascii="Times New Roman;serif" w:hAnsi="Times New Roman;serif"/>
                <w:b w:val="false"/>
                <w:color w:val="000000"/>
                <w:sz w:val="22"/>
              </w:rPr>
              <w:t>Weighted</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Average</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Exercise</w:t>
            </w:r>
          </w:p>
          <w:p>
            <w:pPr>
              <w:pStyle w:val="TableContents"/>
              <w:bidi w:val="0"/>
              <w:spacing w:lineRule="auto" w:line="333" w:before="0" w:after="40"/>
              <w:jc w:val="center"/>
              <w:rPr>
                <w:rFonts w:ascii="Times New Roman;serif" w:hAnsi="Times New Roman;serif"/>
                <w:b w:val="false"/>
                <w:color w:val="000000"/>
                <w:sz w:val="22"/>
              </w:rPr>
            </w:pPr>
            <w:r>
              <w:rPr>
                <w:rFonts w:ascii="Times New Roman;serif" w:hAnsi="Times New Roman;serif"/>
                <w:b w:val="false"/>
                <w:color w:val="000000"/>
                <w:sz w:val="22"/>
              </w:rPr>
              <w:t>Price</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2"/>
              </w:rPr>
            </w:pPr>
            <w:r>
              <w:rPr>
                <w:rFonts w:ascii="Times New Roman;serif" w:hAnsi="Times New Roman;serif"/>
                <w:b w:val="false"/>
                <w:color w:val="000000"/>
                <w:sz w:val="22"/>
              </w:rPr>
              <w:t>Weighted</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Average</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Remaining</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Life</w:t>
            </w:r>
          </w:p>
          <w:p>
            <w:pPr>
              <w:pStyle w:val="TableContents"/>
              <w:bidi w:val="0"/>
              <w:spacing w:lineRule="auto" w:line="333" w:before="0" w:after="40"/>
              <w:jc w:val="center"/>
              <w:rPr>
                <w:rFonts w:ascii="Times New Roman;serif" w:hAnsi="Times New Roman;serif"/>
                <w:b w:val="false"/>
                <w:color w:val="000000"/>
                <w:sz w:val="22"/>
              </w:rPr>
            </w:pPr>
            <w:r>
              <w:rPr>
                <w:rFonts w:ascii="Times New Roman;serif" w:hAnsi="Times New Roman;serif"/>
                <w:b w:val="false"/>
                <w:color w:val="000000"/>
                <w:sz w:val="22"/>
              </w:rPr>
              <w:t>(in Years)</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03"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2"/>
              </w:rPr>
            </w:pPr>
            <w:r>
              <w:rPr>
                <w:rFonts w:ascii="Times New Roman;serif" w:hAnsi="Times New Roman;serif"/>
                <w:b w:val="false"/>
                <w:color w:val="000000"/>
                <w:sz w:val="22"/>
              </w:rPr>
              <w:t>Intrinsic</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Value</w:t>
            </w:r>
          </w:p>
          <w:p>
            <w:pPr>
              <w:pStyle w:val="TableContents"/>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4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December 31, 2025</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9,649,805 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2,396,700 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(127,707)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Cancelled or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(127,614)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4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June 30, 2026</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11,791,184 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Options vested or expected to vest at June 30, 2026</w:t>
            </w:r>
          </w:p>
        </w:tc>
        <w:tc>
          <w:tcPr>
            <w:tcW w:w="12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11,791,184 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Options exercisable at June 30, 2026</w:t>
            </w:r>
          </w:p>
        </w:tc>
        <w:tc>
          <w:tcPr>
            <w:tcW w:w="12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7,066,337 </w:t>
            </w:r>
          </w:p>
        </w:tc>
        <w:tc>
          <w:tcPr>
            <w:tcW w:w="28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As of June 30, 2026, total unrecognized compensation cost related to the unvested stock options was $9,896, which is expected to be recognized over a weighted average period of 2.4 years.</w:t>
      </w:r>
    </w:p>
    <w:p>
      <w:pPr>
        <w:pStyle w:val="TextBody"/>
        <w:bidi w:val="0"/>
        <w:spacing w:lineRule="auto" w:line="288" w:before="240" w:after="283"/>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Restricted stock units </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fair values of restricted stock units are based on the market value of the Company’s stock on the date of the grant. Under terms of the time-based restricted stock agreements covering the common stock, shares of restricted common stock are subject to a vesting schedule. The following table summarizes time-based restricted stock activity since January 1, 2026:</w:t>
      </w:r>
    </w:p>
    <w:tbl>
      <w:tblPr>
        <w:tblW w:w="8608" w:type="dxa"/>
        <w:jc w:val="left"/>
        <w:tblInd w:w="0" w:type="dxa"/>
        <w:tblLayout w:type="fixed"/>
        <w:tblCellMar>
          <w:top w:w="28" w:type="dxa"/>
          <w:left w:w="28" w:type="dxa"/>
          <w:bottom w:w="28" w:type="dxa"/>
          <w:right w:w="28" w:type="dxa"/>
        </w:tblCellMar>
      </w:tblPr>
      <w:tblGrid>
        <w:gridCol w:w="2094"/>
        <w:gridCol w:w="1842"/>
        <w:gridCol w:w="1853"/>
        <w:gridCol w:w="517"/>
        <w:gridCol w:w="518"/>
        <w:gridCol w:w="376"/>
        <w:gridCol w:w="109"/>
        <w:gridCol w:w="109"/>
        <w:gridCol w:w="109"/>
        <w:gridCol w:w="252"/>
        <w:gridCol w:w="655"/>
        <w:gridCol w:w="174"/>
      </w:tblGrid>
      <w:tr>
        <w:trPr/>
        <w:tc>
          <w:tcPr>
            <w:tcW w:w="209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Number of</w:t>
            </w:r>
          </w:p>
          <w:p>
            <w:pPr>
              <w:pStyle w:val="TableContents"/>
              <w:bidi w:val="0"/>
              <w:spacing w:lineRule="auto" w:line="288" w:before="0" w:after="15"/>
              <w:jc w:val="center"/>
              <w:rPr>
                <w:rFonts w:ascii="Times New Roman;serif" w:hAnsi="Times New Roman;serif"/>
                <w:b w:val="false"/>
                <w:color w:val="000000"/>
                <w:sz w:val="22"/>
              </w:rPr>
            </w:pPr>
            <w:r>
              <w:rPr>
                <w:rFonts w:ascii="Times New Roman;serif" w:hAnsi="Times New Roman;serif"/>
                <w:b w:val="false"/>
                <w:color w:val="000000"/>
                <w:sz w:val="2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Weighted</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average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date</w:t>
            </w:r>
          </w:p>
          <w:p>
            <w:pPr>
              <w:pStyle w:val="TableContents"/>
              <w:bidi w:val="0"/>
              <w:spacing w:lineRule="auto" w:line="288" w:before="0" w:after="15"/>
              <w:jc w:val="center"/>
              <w:rPr>
                <w:rFonts w:ascii="Times New Roman;serif" w:hAnsi="Times New Roman;serif"/>
                <w:b w:val="false"/>
                <w:color w:val="000000"/>
                <w:sz w:val="22"/>
              </w:rPr>
            </w:pPr>
            <w:r>
              <w:rPr>
                <w:rFonts w:ascii="Times New Roman;serif" w:hAnsi="Times New Roman;serif"/>
                <w:b w:val="false"/>
                <w:color w:val="000000"/>
                <w:sz w:val="22"/>
              </w:rPr>
              <w:t>fair value</w:t>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Unvested restricted common stock as of December 31, 2025</w:t>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450,000 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Vested</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(225,000)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Unvested restricted common stock as of June 30, 2026</w:t>
            </w:r>
          </w:p>
        </w:tc>
        <w:tc>
          <w:tcPr>
            <w:tcW w:w="10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225,000 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total fair value of time-based restricted stock units vested during the six months ended June 30, 2026 was $567.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3055"/>
                <wp:effectExtent l="0" t="0" r="0" b="0"/>
                <wp:wrapNone/>
                <wp:docPr id="16" name="Frame1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As of June 30, 2026, there was $331 unrecognized compensation cost related to the time-based unvested restricted stock units, which is expected to be recognized over a weighted average period of 0.6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9. NET INCOME (LOSS) PER SHARE</w:t>
      </w:r>
    </w:p>
    <w:p>
      <w:pPr>
        <w:pStyle w:val="TextBody"/>
        <w:bidi w:val="0"/>
        <w:spacing w:lineRule="auto" w:line="288" w:before="240" w:after="283"/>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Net income (loss) per share</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compute basic net income (loss) per common share by dividing net income (loss) by the weighted-average number of common shares outstanding. We compute diluted net income (loss) per common share by dividing net income (loss) by the weighted-average number of common shares and dilutive potential common share equivalents then outstanding during the period. Potential common shares consist of shares issuable upon the vesting of restricted stock units and the exercise of stock options (the proceeds of which are then assumed to have been used to repurchase outstanding shares using the treasury stock method). Because the inclusion of potential common shares would be anti-dilutive for periods presenting a net loss, diluted net loss per common share is the same as basic net loss per common share.</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following table summarizes the computation of basic and diluted net income (loss) per share attributable to common shareholders of the Company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40"/>
        <w:gridCol w:w="1168"/>
        <w:gridCol w:w="1150"/>
        <w:gridCol w:w="297"/>
        <w:gridCol w:w="949"/>
        <w:gridCol w:w="109"/>
        <w:gridCol w:w="109"/>
        <w:gridCol w:w="109"/>
        <w:gridCol w:w="109"/>
        <w:gridCol w:w="263"/>
        <w:gridCol w:w="983"/>
        <w:gridCol w:w="109"/>
        <w:gridCol w:w="109"/>
        <w:gridCol w:w="109"/>
        <w:gridCol w:w="109"/>
        <w:gridCol w:w="263"/>
        <w:gridCol w:w="983"/>
        <w:gridCol w:w="109"/>
        <w:gridCol w:w="109"/>
        <w:gridCol w:w="109"/>
        <w:gridCol w:w="109"/>
        <w:gridCol w:w="267"/>
        <w:gridCol w:w="979"/>
        <w:gridCol w:w="155"/>
      </w:tblGrid>
      <w:tr>
        <w:trPr/>
        <w:tc>
          <w:tcPr>
            <w:tcW w:w="14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3758"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basic</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56,803,450 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57,300,718 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56,734,010 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dilutive securities: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Options to purchase common stock</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stock purchase program</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diluted</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57,367,283 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56,803,450 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57,300,718 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57,474,118 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 basic</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excluded the following potential common shares, presented based on amounts outstanding at each period end, from the computation of diluted net loss per share for the periods indicated because including them would have had an anti-dilutive effect:</w:t>
      </w:r>
    </w:p>
    <w:tbl>
      <w:tblPr>
        <w:tblW w:w="8515" w:type="dxa"/>
        <w:jc w:val="left"/>
        <w:tblInd w:w="0" w:type="dxa"/>
        <w:tblLayout w:type="fixed"/>
        <w:tblCellMar>
          <w:top w:w="28" w:type="dxa"/>
          <w:left w:w="28" w:type="dxa"/>
          <w:bottom w:w="28" w:type="dxa"/>
          <w:right w:w="28" w:type="dxa"/>
        </w:tblCellMar>
      </w:tblPr>
      <w:tblGrid>
        <w:gridCol w:w="1825"/>
        <w:gridCol w:w="1605"/>
        <w:gridCol w:w="1609"/>
        <w:gridCol w:w="623"/>
        <w:gridCol w:w="623"/>
        <w:gridCol w:w="204"/>
        <w:gridCol w:w="204"/>
        <w:gridCol w:w="204"/>
        <w:gridCol w:w="204"/>
        <w:gridCol w:w="563"/>
        <w:gridCol w:w="563"/>
        <w:gridCol w:w="288"/>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before="0" w:after="283"/>
              <w:jc w:val="center"/>
              <w:rPr/>
            </w:pPr>
            <w:r>
              <w:rPr/>
              <w:t>Six Months Ended</w:t>
              <w:br/>
              <w:t>June 30,</w:t>
            </w:r>
          </w:p>
        </w:tc>
      </w:tr>
      <w:tr>
        <w:trPr/>
        <w:tc>
          <w:tcPr>
            <w:tcW w:w="503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Options to purchase common stock</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11,791,184 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9,904,987 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Unvested restricted stock</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Shares issuable under employee stock purchase plan</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Warrants to purchase common stock</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10,757 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12,032,573 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9,915,744 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3055"/>
                <wp:effectExtent l="0" t="0" r="0" b="0"/>
                <wp:wrapNone/>
                <wp:docPr id="17" name="Frame1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10. LEASES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has historically entered into lease arrangements for its facilities. As of June 30, 2026, the Company had two operating leases with required future minimum payments. The Company determined the classification of these leases to be operating leases and recorded right-of-use assets and lease liabilities as of the effective dates. The Company’s leases generally do not include termination or purchase options. </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 xml:space="preserve">Operating leases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On December 5, 2025, the Company entered into a sublease for the remaining floor of its Cambridge, Massachusetts office space. The sublease terminates on August 31, 2028, which is also the date on which the Company's lease terminates. Sublease income is recognized on a straight-line basis over the term of the sublease agreement. The Company was not relieved of its primary obligation under the Cambridge office lease as a result of the sublease. As part of the Company’s evaluation of the December 2025 sublease, it was determined that the estimated undiscounted sublease income did not exceed the net book value of the related long-term assets, which includes right-of-use assets and property and equipment associated with the subleased space. Accordingly, the Company recorded an impairment charge of $2,025 related to the right-of-use asset and an impairment charge of $580 related to the associated property and equipment.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June 19, 2024, the Company entered into a sublease for its office and laboratory space in New York, NY. The sublease terminated on June 30, 2026, with the option to extend to June 30, 2027. Sublease income is recognized on a straight-line basis over the term of the sublease agreement. The Company was not relieved of its primary obligation under the New York lease as a result of the sublease. In December 2025, the subtenant did not exercise its option to extend the sublease, accordingly it terminated on June 30, 2026. As part of the Company’s evaluation of the termination of the sublease, it was determined that the undiscounted cash flows projected from an anticipated future sublease did not exceed the net book value of the related long-term assets, which includes right-of-use assets and property and equipment associated with the subleased space. Accordingly, the Company recorded an impairment charge of $4,626 related to the right-of-use asset and an impairment charge of $117 related to the associated property and equipment in December 2025.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May 15, 2026, the Company entered into a sublease for its office and laboratory space in New York, NY beginning July 1, 2026. Unless terminated earlier, the sublease expires on June 30, 2028, with the option to extend either by one year or for the remainder of the master lease term to August 30, 2032. Sublease income is recognized on a straight-line basis over the term of the sublease agreement. The Company was not relieved of its primary obligation under the New York lease as a result of the sublease.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contains a summary of the lease costs recognized under ASC 842 and other information pertaining to the Company’s operating leases for the three and six months ended June 30, 2026 and 2025:</w:t>
      </w:r>
    </w:p>
    <w:tbl>
      <w:tblPr>
        <w:tblW w:w="7063" w:type="dxa"/>
        <w:jc w:val="left"/>
        <w:tblInd w:w="0" w:type="dxa"/>
        <w:tblLayout w:type="fixed"/>
        <w:tblCellMar>
          <w:top w:w="28" w:type="dxa"/>
          <w:left w:w="28" w:type="dxa"/>
          <w:bottom w:w="28" w:type="dxa"/>
          <w:right w:w="28" w:type="dxa"/>
        </w:tblCellMar>
      </w:tblPr>
      <w:tblGrid>
        <w:gridCol w:w="727"/>
        <w:gridCol w:w="640"/>
        <w:gridCol w:w="643"/>
        <w:gridCol w:w="239"/>
        <w:gridCol w:w="55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before="0" w:after="283"/>
              <w:jc w:val="center"/>
              <w:rPr/>
            </w:pPr>
            <w:r>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Lease Cost</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cost</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Variable lease cost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Sublease income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cost</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3055"/>
                <wp:effectExtent l="0" t="0" r="0" b="0"/>
                <wp:wrapNone/>
                <wp:docPr id="18" name="Frame1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tbl>
      <w:tblPr>
        <w:tblW w:w="9347" w:type="dxa"/>
        <w:jc w:val="left"/>
        <w:tblInd w:w="0" w:type="dxa"/>
        <w:tblLayout w:type="fixed"/>
        <w:tblCellMar>
          <w:top w:w="28" w:type="dxa"/>
          <w:left w:w="28" w:type="dxa"/>
          <w:bottom w:w="28" w:type="dxa"/>
          <w:right w:w="28" w:type="dxa"/>
        </w:tblCellMar>
      </w:tblPr>
      <w:tblGrid>
        <w:gridCol w:w="2368"/>
        <w:gridCol w:w="2083"/>
        <w:gridCol w:w="2088"/>
        <w:gridCol w:w="226"/>
        <w:gridCol w:w="706"/>
        <w:gridCol w:w="286"/>
        <w:gridCol w:w="109"/>
        <w:gridCol w:w="109"/>
        <w:gridCol w:w="109"/>
        <w:gridCol w:w="226"/>
        <w:gridCol w:w="706"/>
        <w:gridCol w:w="331"/>
      </w:tblGrid>
      <w:tr>
        <w:trPr/>
        <w:tc>
          <w:tcPr>
            <w:tcW w:w="2368"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Other Operating Lease Information</w:t>
            </w:r>
          </w:p>
        </w:tc>
        <w:tc>
          <w:tcPr>
            <w:tcW w:w="12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amounts included in the measurement of lease liability</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2,279 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remaining lease term</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discount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variable lease costs for the three and six months ended June 30, 2026 and 2025 include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enters into contracts in the normal course of business with contract research organizations (CROs), contract manufacturing organizations (CMOs) and other third parties for preclinical research studies, clinical trials and testing and manufacturing services. These contracts do not contain minimum purchase commitments and are cancelable upon prior written notice. Payments due upon cancellation consist only of payments for services provided or expenses incurred, including noncancelable obligations of service providers, up to the date of cancellation.</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License Agreements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is party to license agreements, which include contingent payments. These payments will become payable if and when certain development, regulatory and commercial milestones are achieved. As of June 30, 2026, the satisfaction and timing of the contingent payments is uncertain and not reasonably estimable.</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Indemnification agreements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June 30, 2026 or December 31, 2025. </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Legal proceedings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is not currently party to and is not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3055"/>
                <wp:effectExtent l="0" t="0" r="0" b="0"/>
                <wp:wrapNone/>
                <wp:docPr id="19" name="Frame1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12. BENEFIT PLANS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has a tax-qualified 401(k) and Profit Sharing defined contribution plan (the 401(k) Plan). Under the 401(k) Plan, the Company provides an employer safe harbor matching contribution equal to 100% of a participant’s eligible contributions of up to 6% of eligible compensation, subject to limits established by the Internal Revenue Code of 1986, as amended, and any regulations promulgated thereunder (the Code). All matching contributions are fully vested when made. During the three and six months ended June 30, 2026 and 2025, the Company contributed $47, $245, $67 and $221, respectively,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13. SEGMENT REPORTING</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the development of MasterKey therapies that target families of oncogenic mutations in patients with cancer.</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Company’s measure of segment profit or loss is net income (loss). The CODM is the chief executive officer (CEO). The CODM manages and allocates resources to the operations of the Company on a total company basis. Managing and allocating resources on a consolidated basis enables the CEO to assess the overall level of resources available and how to best deploy these resources across functions and development projects that are in line with the Company’s strategic goals. Consistent with this decision-making process, the CEO uses consolidated financial information for purposes of evaluating performance, forecasting future period financial results, allocating resources and setting incentive targets. Segment net income (loss) is used to monitor budget versus actual results and in assessing performance of the segment.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is a reconciliation of the significant expense categories to segment net income (loss) regularly provided to the CODM when managing the Company’s single reporting segment:</w:t>
      </w:r>
    </w:p>
    <w:tbl>
      <w:tblPr>
        <w:tblW w:w="10205" w:type="dxa"/>
        <w:jc w:val="left"/>
        <w:tblInd w:w="0" w:type="dxa"/>
        <w:tblLayout w:type="fixed"/>
        <w:tblCellMar>
          <w:top w:w="28" w:type="dxa"/>
          <w:left w:w="28" w:type="dxa"/>
          <w:bottom w:w="28" w:type="dxa"/>
          <w:right w:w="28" w:type="dxa"/>
        </w:tblCellMar>
      </w:tblPr>
      <w:tblGrid>
        <w:gridCol w:w="1775"/>
        <w:gridCol w:w="1412"/>
        <w:gridCol w:w="1396"/>
        <w:gridCol w:w="226"/>
        <w:gridCol w:w="706"/>
        <w:gridCol w:w="109"/>
        <w:gridCol w:w="109"/>
        <w:gridCol w:w="109"/>
        <w:gridCol w:w="109"/>
        <w:gridCol w:w="226"/>
        <w:gridCol w:w="826"/>
        <w:gridCol w:w="109"/>
        <w:gridCol w:w="109"/>
        <w:gridCol w:w="109"/>
        <w:gridCol w:w="109"/>
        <w:gridCol w:w="226"/>
        <w:gridCol w:w="826"/>
        <w:gridCol w:w="109"/>
        <w:gridCol w:w="109"/>
        <w:gridCol w:w="109"/>
        <w:gridCol w:w="109"/>
        <w:gridCol w:w="226"/>
        <w:gridCol w:w="896"/>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458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58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Program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(NSCLC) research and development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(GBM)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BDTX-4933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Other research programs and development expenses</w:t>
            </w:r>
            <w:r>
              <w:rPr>
                <w:rFonts w:ascii="Times New Roman;serif" w:hAnsi="Times New Roman;serif"/>
                <w:b w:val="false"/>
                <w:color w:val="000000"/>
                <w:sz w:val="14"/>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Non-program expenses</w:t>
            </w:r>
            <w:r>
              <w:rPr>
                <w:rFonts w:ascii="Times New Roman;serif" w:hAnsi="Times New Roman;serif"/>
                <w:b w:val="false"/>
                <w:color w:val="000000"/>
                <w:sz w:val="14"/>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Personnel-related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Other segment items</w:t>
            </w:r>
            <w:r>
              <w:rPr>
                <w:rFonts w:ascii="Times New Roman;serif" w:hAnsi="Times New Roman;serif"/>
                <w:b w:val="false"/>
                <w:color w:val="000000"/>
                <w:sz w:val="14"/>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Segment net (income) loss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2"/>
        </w:rPr>
        <w:t>(</w:t>
      </w:r>
      <w:r>
        <w:rPr>
          <w:rFonts w:ascii="Times New Roman;serif" w:hAnsi="Times New Roman;serif"/>
          <w:b w:val="false"/>
          <w:i/>
          <w:color w:val="000000"/>
          <w:sz w:val="20"/>
        </w:rPr>
        <w:t>1) Includes cross-program consulting expenses; (2) Includes facilities, information technology, legal, intellectual property, and other general and administrative expense; (3) Includes stock-based compensation expense, depreciation, sublease income, investment accretion, interest income, and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13055"/>
                <wp:effectExtent l="0" t="0" r="0" b="0"/>
                <wp:wrapNone/>
                <wp:docPr id="20" name="Frame2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14. LICENSE REVENUE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2025, the Company entered into a license agreement with Servier. Pursuant to the Servier Agreement, the Company granted to Servier a worldwide license to develop and commercialize BDTX-4933. Under the terms of the Servier Agreement, Servier will lead the development activities and the worldwide commercialization of BDTX-4933 across multiple indications, including NSCLC, with potential applications in other solid tumors. Under the Servier Agreement, the Company received an upfront payment of $70,000 in March 2025 and will be eligible to receive up to $710,000 in development and commercial sales milestone payments, along with tiered royalties based on global net sales. These milestone and royalty payments will become payable to the Company if and when the development and commercial sales milestones are achieved and commercial sales of the licensed product are made.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Unless earlier terminated, the term of the Servier Agreement continues until expiration of the last royalty term for the applicable product in the applicable country. The Servier Agreement is subject to customary termination provisions, including termination by a party for the other party’s uncured, material breach. The Servier Agreement also includes customary representations and warranties, covenants and indemnification obligations.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 assessed the Servier Agreement in accordance with ASC 606 and concluded that the contract counterparty, Servier, is a customer. In accordance with ASC 606, the Company determined that there is one performance obligation in the Servier Agreement, consisting of the license of the functional IP rights to BDTX-4933 granted to Servier. The transaction price was comprised of the fixed consideration of $70,000 and was recognized upon transfer of control of the license at a point in time upon contract execution. The arrangement includes significant variable consideration primarily in the form of development and commercial sales milestone payments and royalty fees.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development milestone fees are fully constrained at the inception of the contract. The estimate of variable consideration and the judgments related to the constraints for the development milestones are reassessed each reporting period under the most likely amount method. As of and for the three and six months ended June 30, 2026, the Company determined the events underlying the milestones were not probable, therefore the variable consideration was fully constrained and no adjustments to the estimates have been made.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commercial sales milestones and royalty fees are considered variable consideration and will be recognized as revenue as such sales occur. The commercial sales milestones and royalty fees qualify for the sales and usage-based royalty exception because the license of the functional IP rights to BDTX-4933 is the predominant element of the Servier Agreement and therefore does not require an estimate of the future transaction price.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six months ended June 30, 2026, the Company recorded no license revenue pursuant to the Servier Agreement and $70,000 in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13055"/>
                <wp:effectExtent l="0" t="0" r="0" b="0"/>
                <wp:wrapNone/>
                <wp:docPr id="21" name="Frame2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The following discussion and analysis should be read in conjunction with the unaudited condensed consolidated financial statements and related notes included elsewhere in this Quarterly Report and our audited consolidated financial statements and related notes thereto for the year ended December 31, 2025, as well as Management’s Discussion and Analysis of Financial Condition and Results of Operations, included in our Annual Report on Form 10-K for the year ended December 31, 2025, which was filed with the SEC on March 16, 2026.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our Annual Report on Form 10-K and in other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are a clinical-stage oncology company developing MasterKey therapies that target families of oncogenic mutations in patients with cancer, including silevertinib, a potential best-in-class brain-penetrant epidermal growth factor receptor (EGFR) inhibitor.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is a brain-penetrant, covalent, fourth-generation epidermal growth factor receptor (EGFR) MasterKey inhibitor targeting epidermal growth factor receptor mutant (EGFRm) non-small cell lung cancer (NSCLC) and glioblastoma (GBM). We are advancing a Phase 2 trial in EGFRm NSCLC patients and initiated a randomized Phase 2 trial of silevertinib in newly diagnosed patients with EGFRvIII+ glioblastoma (GBM), with the first patient dosed in May 2026.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believe that our clinical-stage lead product candidate,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Silevertinib was shown to be well tolerated and achieve durable clinical responses in our Phase 1 trial in patients with recurrent EGFRm NSCLC whose tumors expressed a range of mutation subtypes, including the acquired C797S resistance mutation and a broad spectrum of non-classical mutations. At the American Society of Clinical Oncology (ASCO) Annual Meeting in May 2026, final clinical data from a Phase 2 trial of 83 patients with EGFRm NSCLC in the second- and third-line settings demonstrated encouraging clinical responses, robust EGFRm target coverage, and a favorable tolerability profile with no new safety signals observed.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13055"/>
                <wp:effectExtent l="0" t="0" r="0" b="0"/>
                <wp:wrapNone/>
                <wp:docPr id="22" name="Frame2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On May 30, 2026, data from our Phase 2 trial of silevertinib in frontline EGFRm NSCLC patients were presented at the ASCO Annual Meeting. As of an April 11, 2026 data cutoff date, 43 frontline patients presenting with a broad spectrum of EGFR non-classical mutations (NCMs), including compound and P-Loop and C-Helix Compressing (PACC) mutations, were enrolled at a dose of 200 mg once daily (QD). 19 patients presented with brain metastases, 7 of whom had measurable central nervous system (CNS) target lesions. At a median follow-up of 11.2 months, preliminary median progression-free survival (mPFS) was 15.2 months (95% CI: 10.8, NE) and median duration of response (DOR) had not been reached (95% CI: 7.0, NE). As of the data cutoff date, 23 of 43 patients (53%) remained on therapy, with the longest at 23.5 months. No patients developed de novo brain metastases. The previously disclosed CNS objective response rate (ORR by RANO-BM) of 86%, objective response rate (ORR by RECIST 1.1) of 60%, and disease control rate (DCR) of 91% each remained unchanged. Reductions in variant allele frequency (VAF) were observed in all evaluable patients across 25 unique EGFR-NCMs, including PACC mutations. No new safety signals were observed. Adverse events (AEs) experienced by a majority of patients included rash, stomatitis, diarrhea, and paronychia and were managed with standard supportive care and dose interruptions or reductions without compromising response depth or durability. Following dose reductions, the rate of Grade 3 or higher treatment-related AEs was reduced to 28%. Collectively, safety, pharmacokinetics, pharmacodynamics and efficacy data support the selection of a 150 mg QD dose for pivotal development.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Silevertinib has demonstrated encouraging CNS activity in multiple trials across NSCLC and GBM. In our Phase 2 in frontline patients with EGFRm NSCLC 86% of patients achieved a confirmed CNS response. The results from our Phase 1 trial of silevertinib in patients with relapsed/recurrent GBM (presented at ASCO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and together with the robust CNS ORR demonstrated by silevertinib to date in our Phase 2 trial in frontline EGFRm NSCLC patients, we believe that silevertinib is uniquely positioned as a potential treatment for patients with newly diagnosed EGFR-altered GBM. Following feedback on the study design received from the FDA in January 2026, we initiated a randomized Phase 2 trial in this patient population and dosed the first patient in May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EGFRvIII-positive patients (approximately 30% of GBM patients) who are O-6-methylguanine-DNA methyltransferase (MGMT)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of 2028. The secondary endpoint of the trial will be overall survival (OS). The trial will be governed by an independent data monitoring committee (IDMC).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We are also continuing to explore potential partnership opportunities to advance silevertinib into pivotal development.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Our second clinical-stage asset, BDTX-4933 (also known as S241656),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14, License Revenue, to the consolidated financial statements included elsewhere in this Quarterly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13055"/>
                <wp:effectExtent l="0" t="0" r="0" b="0"/>
                <wp:wrapNone/>
                <wp:docPr id="23" name="Frame2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Since our inception in 2014, we have devoted substantially all of our efforts and financial resources to organizing and staffing our company, business planning, raising capital, discovering product candidates and securing related intellectual property rights while conducting research and development activities for our programs. We do not have any products approved for sale and have not generated any revenue from product sales. We may never be able to develop or commercialize a marketable product. We have not yet successfully completed any pivotal clinical trials, obtained any regulatory marketing approvals, manufactured a commercial-scale drug, or conducted sales and marketing activities.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 date, we have funded our operations primarily with proceeds from sales of our common stock and preferred stock, and through the $70.0 million upfront payment received under the Servier Agreement in March 2025. Since inception, we have incurred significant operating losses. Our net loss was $18.9 million and our net income was $46.0 million for the six months ended June 30, 2026 and 2025, respectively. As of June 30, 2026, we had an accumulated deficit of $483.7 million. Our ability to generate product revenue sufficient to achieve profitability will depend heavily on the successful development and eventual commercialization of our current or future product candidates. We expect that our expenses and capital requirements will increase substantially in connection with our ongoing activities, particularly if and as we: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advance clinical development of silevertinib;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obtain, maintain, expand, enforce and protect our intellectual property portfolio;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maintain existing collaborations or strategic relationships and identify and enter into future license agreements and collaborations with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attract and retain key clinical, scientific, management and commercial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seek marketing approvals for our product candidates that successfully complete clinical trials, if any;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acquire or in-license additional product candidates.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and licensing arrangements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and reduce headcount and general and administrative costs.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Additionally, we continue to actively monitor macroeconomic conditions and market volatility resulting from global and national economic developments, political unrest, new or increased international tariffs and retaliatory tariffs, inflationary pressures, disruptions in capital markets, changes in international trade relationships, changes in U.S. governmental agencies, new laws and regulations or amendments to existing laws and regulations in the U.S. and foreign countries, and military conflicts. While we believe such factors have had no significant impact on our business or financial results during the periods presented, future developments and potential impacts on our business are uncertain and cannot be predicted with confidence.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13055"/>
                <wp:effectExtent l="0" t="0" r="0" b="0"/>
                <wp:wrapNone/>
                <wp:docPr id="24" name="Frame2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we had cash, cash equivalents and investments of approximately $110.5 million, which we believe will enable us to fund our operating expenses and capital expenditure requirements into the second half of 2028.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 If we are unable to raise additional capital in sufficient amounts or on terms acceptable to us, we may have to significantly delay, scale back or discontinue the development or commercialization of our product candidates or other research and development initiatives.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Components of our results of operations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Since our inception, we have not generated any product revenue and do not expect to generate any revenue from the sale of products for the foreseeable future. To date, we have generated revenue solely from licensing of intellectual property. If our development efforts for our product candidates are successful and result in regulatory approval, or if we enter into collaboration or license agreements with third parties, we may generate revenue in the future from a combination of product sales or payments from such collaboration or license agreements. However, there can be no assurance as to when we will generate such revenue, if at all.</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Operating expenses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 expenses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Research and development expenses consist primarily of costs incurred for our research activities, including the development of our product candidates. We expense research and development costs as incurred, which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expenses incurred to conduct the necessary preclinical studies and clinical trials required to obtain regulatory approval;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expenses incurred under agreements with contract research organizations (CROs) that are primarily engaged in the oversight and conduct of our drug discovery efforts, preclinical studies, and clinical trials as well as under agreements with contract manufacturing organizations (CMOs) that are primarily engaged to provide preclinical and clinical drug substance and product for our research and development programs;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other costs related to the conduct of preclinical studies, and clinical trials, including acquiring and manufacturing materials, manufacturing validation batches, fees to investigative sites and consultants that conduct our clinical trials, preclinical studies and other scientific development support services;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payments made in cash or equity securities under third-party licensing, acquisition and option agreements;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employee-related expenses, including salaries and benefits, travel and stock-based compensation expense for employees engaged in research and development functions;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costs related to compliance with regulatory requirements;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allocated facilities-related costs, depreciation and other expenses, which include rent and utilities.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Any nonrefundable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13055"/>
                <wp:effectExtent l="0" t="0" r="0" b="0"/>
                <wp:wrapNone/>
                <wp:docPr id="25" name="Frame2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Our direct research and development expenses also include fees incurred under license, acquisition and option agreements. 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primarily to conduct our research as well as for managing our preclinical development, process development, manufacturing and clinical development activities. These employees work across multiple programs and, therefore, we do not track their costs by program.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clinical development of silevertinib. In addition, we may incur additional expenses related to milestone and royalty payments payable to third parties with whom we may enter into license, acquisition and option agreements to acquire the rights to future product candidates.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At this time, we cannot reasonably estimate or know the nature, timing and costs of the efforts that will be necessary to complete the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scope, progress, outcome and costs of our clinical trials and other development activities;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successful patient enrollment in and the initiation and completion of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timing, receipt and terms of any marketing approvals from applicable regulatory authorities including the FDA and non-U.S. regulators;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extent of any required post-marketing approval commitments to applicable regulatory authorities;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development and timely delivery of clinical-grade and commercial-grade drug formulations that can be used in our clinical trials and for commercial launch;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obtaining, maintaining, defending and enforcing patent claims and other intellectual property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significant and changing government regulation;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launching commercial sales of our product candidates, if and when approved, whether alone or in collaboration with others;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maintaining a continued acceptable tolerability profile of our product candidates following approval, if any, of our product candidates.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Any changes in the outcome of any of these variables with respect to the development of our product candidates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13055"/>
                <wp:effectExtent l="0" t="0" r="0" b="0"/>
                <wp:wrapNone/>
                <wp:docPr id="26" name="Frame2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 expenses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consist primarily of salaries and benefits, travel and stock-based compensation expense for personnel in executive, business development, finance, human resources, legal, information technology, pre-commercial and support personnel functions. General and administrative expenses also include direct and allocated facility-related costs as well as insurance costs and professional fees for legal, patent, consulting, investor and public relations, accounting and audit services.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We anticipate that our general and administrative expenses will increase in the future as we support continued development of our product candidates and prepare for potential commercialization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Other income (expense)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Other income (expense) consists primarily of interest income earned on our cash equivalents and investment balances, sublease income, and realized and unrealized foreign currency transaction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240" w:after="283"/>
        <w:jc w:val="left"/>
        <w:rPr/>
      </w:pPr>
      <w:r>
        <w:rPr>
          <w:rFonts w:ascii="Times New Roman;serif" w:hAnsi="Times New Roman;serif"/>
          <w:b/>
          <w:i/>
          <w:color w:val="000000"/>
          <w:sz w:val="22"/>
        </w:rPr>
        <w:t>Comparison of the</w:t>
      </w:r>
      <w:r>
        <w:rPr>
          <w:color w:val="000000"/>
        </w:rPr>
        <w:t xml:space="preserve"> </w:t>
      </w:r>
      <w:r>
        <w:rPr>
          <w:rFonts w:ascii="Times New Roman;serif" w:hAnsi="Times New Roman;serif"/>
          <w:b/>
          <w:i/>
          <w:color w:val="000000"/>
          <w:sz w:val="22"/>
        </w:rPr>
        <w:t>three months</w:t>
      </w:r>
      <w:r>
        <w:rPr>
          <w:color w:val="000000"/>
        </w:rPr>
        <w:t xml:space="preserve"> </w:t>
      </w:r>
      <w:r>
        <w:rPr>
          <w:rFonts w:ascii="Times New Roman;serif" w:hAnsi="Times New Roman;serif"/>
          <w:b/>
          <w:i/>
          <w:color w:val="000000"/>
          <w:sz w:val="22"/>
        </w:rPr>
        <w:t>ended June 30, 2026 and 2025</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our results of operations for the three months ended June 30, 2026 and 2025:</w:t>
      </w:r>
    </w:p>
    <w:tbl>
      <w:tblPr>
        <w:tblW w:w="7481" w:type="dxa"/>
        <w:jc w:val="left"/>
        <w:tblInd w:w="0" w:type="dxa"/>
        <w:tblLayout w:type="fixed"/>
        <w:tblCellMar>
          <w:top w:w="28" w:type="dxa"/>
          <w:left w:w="28" w:type="dxa"/>
          <w:bottom w:w="28" w:type="dxa"/>
          <w:right w:w="28" w:type="dxa"/>
        </w:tblCellMar>
      </w:tblPr>
      <w:tblGrid>
        <w:gridCol w:w="1186"/>
        <w:gridCol w:w="1038"/>
        <w:gridCol w:w="1045"/>
        <w:gridCol w:w="226"/>
        <w:gridCol w:w="796"/>
        <w:gridCol w:w="109"/>
        <w:gridCol w:w="109"/>
        <w:gridCol w:w="109"/>
        <w:gridCol w:w="109"/>
        <w:gridCol w:w="226"/>
        <w:gridCol w:w="916"/>
        <w:gridCol w:w="109"/>
        <w:gridCol w:w="109"/>
        <w:gridCol w:w="109"/>
        <w:gridCol w:w="109"/>
        <w:gridCol w:w="226"/>
        <w:gridCol w:w="79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76"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26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26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42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 from operations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(13,420)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 (expense):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income (expense), net</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13055"/>
                <wp:effectExtent l="0" t="0" r="0" b="0"/>
                <wp:wrapNone/>
                <wp:docPr id="27" name="Frame2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 were $7.4 million for the three months ended June 30, 2026, compared to $9.3 million for the three months ended June 30, 2025. The following table summarizes our research and development expenses for the three months ended June 30, 2026 and 2025:</w:t>
      </w:r>
    </w:p>
    <w:tbl>
      <w:tblPr>
        <w:tblW w:w="9461" w:type="dxa"/>
        <w:jc w:val="left"/>
        <w:tblInd w:w="0" w:type="dxa"/>
        <w:tblLayout w:type="fixed"/>
        <w:tblCellMar>
          <w:top w:w="28" w:type="dxa"/>
          <w:left w:w="28" w:type="dxa"/>
          <w:bottom w:w="28" w:type="dxa"/>
          <w:right w:w="28" w:type="dxa"/>
        </w:tblCellMar>
      </w:tblPr>
      <w:tblGrid>
        <w:gridCol w:w="2010"/>
        <w:gridCol w:w="1765"/>
        <w:gridCol w:w="1774"/>
        <w:gridCol w:w="226"/>
        <w:gridCol w:w="706"/>
        <w:gridCol w:w="109"/>
        <w:gridCol w:w="109"/>
        <w:gridCol w:w="109"/>
        <w:gridCol w:w="109"/>
        <w:gridCol w:w="226"/>
        <w:gridCol w:w="706"/>
        <w:gridCol w:w="109"/>
        <w:gridCol w:w="109"/>
        <w:gridCol w:w="109"/>
        <w:gridCol w:w="109"/>
        <w:gridCol w:w="226"/>
        <w:gridCol w:w="796"/>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76"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(NSCLC) research and development expenses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(GBM)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research programs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Personnel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Allocated facility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decrease of $1.9 million for the three months ended June 30, 2026 was primarily due to a decrease of $3.3 million related to the progression of our Phase 2 clinical trial for silevertinib in NSCLC, partially offset by an increased spend of $2.6 million related to the start up activities for our Phase 2 clinical trial for silevertinib in GBM, compared to the three months ended June 30, 2025. In addition, personnel expenses decreased by $0.4 million as we continue to capitalize on workforce efficiencies and focus on our development program, and facilities expenses decreased by $0.4 million due to the sublease of the remaining floor of our Cambridge, Massachusetts office space in December 2025. </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 expenses were $4.7 million for the three months ended June 30, 2026 compared to $4.1 million for the three months ended June 30, 2025. The increase was primarily a result of higher IP-related costs.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 xml:space="preserve">Other income (expense)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Other income was $2.2 million for the three months ended June 30, 2026, compared to $2.9 million for the three months ended June 30, 2025. The decrease was primarily attributable to a decrease in interest income and a decrease in accretion on investments in 2026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13055"/>
                <wp:effectExtent l="0" t="0" r="0" b="0"/>
                <wp:wrapNone/>
                <wp:docPr id="28" name="Frame2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pPr>
      <w:r>
        <w:rPr>
          <w:rFonts w:ascii="Times New Roman;serif" w:hAnsi="Times New Roman;serif"/>
          <w:b/>
          <w:i/>
          <w:color w:val="000000"/>
          <w:sz w:val="22"/>
        </w:rPr>
        <w:t>Comparison of the</w:t>
      </w:r>
      <w:r>
        <w:rPr>
          <w:color w:val="000000"/>
        </w:rPr>
        <w:t xml:space="preserve"> </w:t>
      </w:r>
      <w:r>
        <w:rPr>
          <w:rFonts w:ascii="Times New Roman;serif" w:hAnsi="Times New Roman;serif"/>
          <w:b/>
          <w:i/>
          <w:color w:val="000000"/>
          <w:sz w:val="22"/>
        </w:rPr>
        <w:t>six months</w:t>
      </w:r>
      <w:r>
        <w:rPr>
          <w:color w:val="000000"/>
        </w:rPr>
        <w:t xml:space="preserve"> </w:t>
      </w:r>
      <w:r>
        <w:rPr>
          <w:rFonts w:ascii="Times New Roman;serif" w:hAnsi="Times New Roman;serif"/>
          <w:b/>
          <w:i/>
          <w:color w:val="000000"/>
          <w:sz w:val="22"/>
        </w:rPr>
        <w:t>ended June 30, 2026 and 2025</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our results of operations for the six months ended June 30, 2026 and 2025:</w:t>
      </w:r>
    </w:p>
    <w:tbl>
      <w:tblPr>
        <w:tblW w:w="7632" w:type="dxa"/>
        <w:jc w:val="left"/>
        <w:tblInd w:w="0" w:type="dxa"/>
        <w:tblLayout w:type="fixed"/>
        <w:tblCellMar>
          <w:top w:w="28" w:type="dxa"/>
          <w:left w:w="28" w:type="dxa"/>
          <w:bottom w:w="28" w:type="dxa"/>
          <w:right w:w="28" w:type="dxa"/>
        </w:tblCellMar>
      </w:tblPr>
      <w:tblGrid>
        <w:gridCol w:w="1184"/>
        <w:gridCol w:w="1040"/>
        <w:gridCol w:w="1046"/>
        <w:gridCol w:w="226"/>
        <w:gridCol w:w="916"/>
        <w:gridCol w:w="109"/>
        <w:gridCol w:w="109"/>
        <w:gridCol w:w="109"/>
        <w:gridCol w:w="109"/>
        <w:gridCol w:w="226"/>
        <w:gridCol w:w="826"/>
        <w:gridCol w:w="109"/>
        <w:gridCol w:w="109"/>
        <w:gridCol w:w="109"/>
        <w:gridCol w:w="109"/>
        <w:gridCol w:w="226"/>
        <w:gridCol w:w="9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96"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27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27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expenses: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(5,574)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w:t>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(64,426)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 (expense):</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income (expense), net</w:t>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(64,922)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Revenue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 revenue was recorded for the six months ended June 30, 2026 compared to $70.0 million for the six months ended June 30, 2025. The decrease was a result of the upfront payment we received from Servier in the first quarter of 2025 under the Servier Agreement.</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 were $14.4 million for the six months ended June 30, 2026, compared to $19.8 million for the six months ended June 30, 2025. The following table summarizes our research and development expenses for the six months ended June 30, 2026 and 2025:</w:t>
      </w:r>
    </w:p>
    <w:tbl>
      <w:tblPr>
        <w:tblW w:w="9701" w:type="dxa"/>
        <w:jc w:val="left"/>
        <w:tblInd w:w="0" w:type="dxa"/>
        <w:tblLayout w:type="fixed"/>
        <w:tblCellMar>
          <w:top w:w="28" w:type="dxa"/>
          <w:left w:w="28" w:type="dxa"/>
          <w:bottom w:w="28" w:type="dxa"/>
          <w:right w:w="28" w:type="dxa"/>
        </w:tblCellMar>
      </w:tblPr>
      <w:tblGrid>
        <w:gridCol w:w="2010"/>
        <w:gridCol w:w="1765"/>
        <w:gridCol w:w="1774"/>
        <w:gridCol w:w="226"/>
        <w:gridCol w:w="826"/>
        <w:gridCol w:w="109"/>
        <w:gridCol w:w="109"/>
        <w:gridCol w:w="109"/>
        <w:gridCol w:w="109"/>
        <w:gridCol w:w="226"/>
        <w:gridCol w:w="826"/>
        <w:gridCol w:w="109"/>
        <w:gridCol w:w="109"/>
        <w:gridCol w:w="109"/>
        <w:gridCol w:w="109"/>
        <w:gridCol w:w="226"/>
        <w:gridCol w:w="796"/>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76"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554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41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(NSCLC) research and development expenses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Silevertinib (GBM) research and development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BDTX-4933 research and development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research programs and development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Personnel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Allocated facility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(5,429)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13055"/>
                <wp:effectExtent l="0" t="0" r="0" b="0"/>
                <wp:wrapNone/>
                <wp:docPr id="29" name="Frame2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decrease of $5.4 million for the six months ended June 30, 2026 was primarily due to a decrease of $5.7 million related to the progression of our Phase 2 clinical trial for silevertinib in NSCLC and a decrease of $1.0 million related to the deprioritization of the BDTX-4933 program and subsequent licensing to Servier, partially offset by an increase of $4.0 million for silevertinib GBM due to the initiation of a Phase 2 GBM trial, compared to the six months ended June 30, 2025. In addition, personnel expenses decreased by $0.7 million as we continue to capitalize on workforce efficiencies and focus on advancing and optimizing development for silevertinib, and facilities expenses decreased by $0.9 million due to the sublease of the remaining floor of our Cambridge, Massachusetts office space in December 2025.</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 expenses were $8.9 million for the six months ended June 30, 2026 compared to $9.1 million for the six months ended June 30, 2025. The decrease was primarily a result of continued operational efficiencies.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 xml:space="preserve">Other income (expense)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Other income was $4.4 million for the six months ended June 30, 2026, compared to $4.9 million for the six months ended June 30, 2025. The decrease was primarily attributable to a decrease in accretion on investments in 2026, partially offset by an increase in interest income compared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Sources of liquidity</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Since our inception, we have not generated any product revenue and do not expect to generate any revenue from the sale of products in the foreseeable future. We have funded our operations to date primarily with proceeds from the sales of our common and preferred stock, as well as proceeds from licensing of intellectual property. We have incurred significant operating losses and negative cash flows from our operations. We have not yet commercialized any of our product candidates, and we do not expect to generate revenue from sales of any product candidates for several years, if at all.</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On February 3, 2020, we completed an initial public offering (IPO) of 12,174,263 shares of our common stock, including the exercise in full by the underwriters of their option to purchase up to 1,587,947 additional shares of our common stock, for aggregate gross proceeds of $231.3 million. We received $212.1 million in net proceeds after deducting underwriting discounts and commissions and other offering expenses payable by us. Through June 30, 2026, we had received net cash proceeds of $200.6 million from previous sales of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13055"/>
                <wp:effectExtent l="0" t="0" r="0" b="0"/>
                <wp:wrapNone/>
                <wp:docPr id="30" name="Frame3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2"/>
        </w:rPr>
        <w:t>On November 13, 2025, we filed a new shelf registration statement on Form S-3 (the New Shelf Registration Statement) with the SEC, which covers the offering, issuance and sale of our common stock, preferred stock, debt securities, warrants and/or units of any combination thereof up to a maximum price of $500.0 million, including up to $150.0 million of shares of our common stock (the Shares) that may be offered, issued and sold under an Open Market Sale Agreement</w:t>
      </w:r>
      <w:r>
        <w:rPr>
          <w:rFonts w:ascii="Times New Roman;serif" w:hAnsi="Times New Roman;serif"/>
          <w:b w:val="false"/>
          <w:color w:val="000000"/>
          <w:sz w:val="13"/>
        </w:rPr>
        <w:t xml:space="preserve">SM </w:t>
      </w:r>
      <w:r>
        <w:rPr>
          <w:rFonts w:ascii="Times New Roman;serif" w:hAnsi="Times New Roman;serif"/>
          <w:b w:val="false"/>
          <w:color w:val="000000"/>
          <w:sz w:val="22"/>
        </w:rPr>
        <w:t>(the Sales Agreement) previously entered into with Jefferies LLC (Jefferies), as sales agent, on November 13, 2022 (the ATM Program). The New Registration Statement was filed to replace our prior shelf registration statement on Form S-3 (the Prior Shelf Registration Statement), originally filed with the SEC on November 14, 2022 and declared effective on November 22, 2022,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is deemed terminated as of the date of effectiveness of the New Shelf Registration Statement. Any Shares will be sold pursuant to the New Shelf Registration Statement and the sales agreement prospectus filed therewith. Upon delivery of a placement notice and subject to the terms and conditions of the Sales Agreement, Jefferies may sell the Shares by any method permitted by law deemed to be an “at the market offering” as defined in Rule 415(a)(4) promulgated under the Securities Act. We may sell the Shares in amounts and at times to be determined by us from time to time subject to the terms and conditions of the Sales Agreement, but we have no obligation to sell any Shares under the Sales Agreement. We or Jefferies may suspend or terminate the offering of Shares upon notice to the other party and subject to other conditions. As of June 30, 2026, we sold 4,490,853 shares of our common stock pursuant to the ATM Program, resulting in gross proceeds to us of approximately $25.0 million ($24.5 million net of offering costs).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July 5, 2023, we completed an underwritten public offering (the Follow-on Offering) of 15,000,000 shares of our common stock at a price to the public of $5.00 per share. The aggregate net proceeds from the Follow-on Offering totaled approximately $71.6 million after deducting underwriting discounts and commissions, as well as other offering expenses. The underwriters did not exercise any portion of their 30-day overallotment option to purchase up to an additional 2,250,000 shares of our common stock at the public offering price, which expired on July 29, 2023, and therefore no additional proceeds from the Follow-on Offering were received. </w:t>
      </w:r>
    </w:p>
    <w:p>
      <w:pPr>
        <w:pStyle w:val="TextBody"/>
        <w:bidi w:val="0"/>
        <w:spacing w:lineRule="auto" w:line="288" w:before="240" w:after="283"/>
        <w:jc w:val="left"/>
        <w:rPr/>
      </w:pPr>
      <w:r>
        <w:rPr>
          <w:rFonts w:ascii="Times New Roman;serif" w:hAnsi="Times New Roman;serif"/>
          <w:b w:val="false"/>
          <w:color w:val="000000"/>
          <w:sz w:val="22"/>
        </w:rPr>
        <w:t xml:space="preserve">On March 18, 2025, we entered into the Servier Agreement with Servier for BDTX-4933, a small molecule designed to address unmet medical needs in RAF/RAS-mutant solid tumors, pursuant to which we granted to Servier a global license to develop and commercialize BDTX-4933. Under the terms of the Servier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14, </w:t>
      </w:r>
      <w:r>
        <w:rPr>
          <w:rFonts w:ascii="Times New Roman;serif" w:hAnsi="Times New Roman;serif"/>
          <w:b w:val="false"/>
          <w:i/>
          <w:color w:val="000000"/>
          <w:sz w:val="22"/>
        </w:rPr>
        <w:t>License Revenue</w:t>
      </w:r>
      <w:r>
        <w:rPr>
          <w:rFonts w:ascii="Times New Roman;serif" w:hAnsi="Times New Roman;serif"/>
          <w:b w:val="false"/>
          <w:color w:val="000000"/>
          <w:sz w:val="22"/>
        </w:rPr>
        <w:t>, to the condensed consolidated financial statements included elsewhere in this Quarterly Report for additional information.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we had cash, cash equivalents and investments of $110.5 million.</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Cash flows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our sources and uses of cash for each of the periods presented (in thousands):</w:t>
      </w:r>
    </w:p>
    <w:tbl>
      <w:tblPr>
        <w:tblW w:w="7808" w:type="dxa"/>
        <w:jc w:val="left"/>
        <w:tblInd w:w="0" w:type="dxa"/>
        <w:tblLayout w:type="fixed"/>
        <w:tblCellMar>
          <w:top w:w="28" w:type="dxa"/>
          <w:left w:w="28" w:type="dxa"/>
          <w:bottom w:w="28" w:type="dxa"/>
          <w:right w:w="28" w:type="dxa"/>
        </w:tblCellMar>
      </w:tblPr>
      <w:tblGrid>
        <w:gridCol w:w="1819"/>
        <w:gridCol w:w="1600"/>
        <w:gridCol w:w="1605"/>
        <w:gridCol w:w="226"/>
        <w:gridCol w:w="916"/>
        <w:gridCol w:w="109"/>
        <w:gridCol w:w="109"/>
        <w:gridCol w:w="109"/>
        <w:gridCol w:w="109"/>
        <w:gridCol w:w="226"/>
        <w:gridCol w:w="82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provided by (used in) operating activities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44,251 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Cash provided by (used in) investing activities</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Cash provided by (used in)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0" w:after="40"/>
              <w:jc w:val="left"/>
              <w:rPr/>
            </w:pPr>
            <w:r>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Net increase (decrease) in cash and cash equivalents</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(6,439)</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13055"/>
                <wp:effectExtent l="0" t="0" r="0" b="0"/>
                <wp:wrapNone/>
                <wp:docPr id="31" name="Frame3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360" w:after="283"/>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we had cash used in operating activities of $18.2 million, primarily resulting from our net loss of $18.9 million, along with changes in our operating assets and liabilities of $3.0 million, partially offset by $3.8 million of non-cash items.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we had cash provided by operating activities of $44.3 million, primarily resulting from our net income of $46.0 million, along with $4.3 million of non-cash items, partially offset by changes in our operating assets and liabilities of $6.1 million.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accounts payable and accrued expenses in all periods were generally due to the advancement of our product candidate and the timing of vendor invoicing and payments. </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we had cash provided by investing activities of $16.4 million primarily from the sales and maturities of investments, netted against our purchase of investments.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we had cash used in investing activities of $50.6 million primarily from the sales and maturities of investments, netted against our purchase of investments.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we had cash provided by financing activities of less than $0.1 million, consisting of proceeds from the exercises of common stock options offset by the shares surrendered to cover taxes from a restricted stock unit vesting.</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we had cash used in financing activities of less than $0.1 million, consisting of proceeds from the participation in the 2020 Employee Stock Purchase Plan offset by the shares surrendered to cover taxes from a restricted stock unit vesting.</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Funding requirements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We expect our expenses to increase substantially in connection with our ongoing activities, particularly as we advance clinical trials of silevertinib. In addition, we expect to incur additional costs associated with operating as a public company, including significant legal, accounting, investor relations and other expenses. The timing and amount of our operating expenditures will depend largely on our ability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advance silevertinib through clinical trials, either independently or with a partner;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manufacture, or have manufactured on our behalf, our drug material and develop processes for late stage and commercial manufacturing;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seek regulatory approvals for any product candidates that successfully complete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establish a sales, marketing, medical affairs and distribution infrastructure to commercialize any product candidates for which we may obtain marketing approval and intend to commercialize on our own;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obtain, maintain, expand, enforce and protect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3055"/>
                <wp:effectExtent l="0" t="0" r="0" b="0"/>
                <wp:wrapNone/>
                <wp:docPr id="32" name="Frame3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we had cash, cash equivalents and investments of $110.5 million. We believe that our existing cash, cash equivalents and investments will enable us to fund our operating expenses and capital expenditure requirements into the second half of 2028. We have based this estimate on assumptions that may prove to be wrong, and we could utilize our available capital resources sooner than we expect. We anticipate that we will require additional capital as we seek regulatory approval of our product candidates and if we choose to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Because of the numerous risks and uncertainties associated with research, development and commercialization of product candidates, we are unable to predict the timing or amount of increased expenses or when or if we will be able to achieve or maintain profitability. If we fail to become profitable or are unable to sustain profitability on a continuing basis, then we may be unable to continue our operations at planned levels and be forced to further reduce or terminate our operations. Our future funding requirements will depend on and could increase significantly as a result of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scope, progress, results and costs of developing our product candidates, and conducting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costs, timing and outcome of regulatory review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costs, timing and ability to manufacture our product candidates to supply our clinical development efforts and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Servier’s ability to develop and commercialize BDTX-4933 and the receipt of potential milestone and royalty payments from commercial product sales, along with tiered royalties based on global net sales, if any, under the Servier Agreement;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costs of future activities, including product sales, medical affairs, marketing, manufacturing and distribution, for any of our product candidates for which we receive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ability to receive additional non-dilutive funding;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revenue, if any, received from commercial sale of our product candidates, should any of our product candidates receive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costs of preparing, filing and prosecuting patent applications, obtaining, maintaining, expanding and enforcing our intellectual property rights and defending intellectual property-related claims;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our ability to establish and maintain additional collaborations and license agreements on favorable terms, if at all, and the ability and willingness of our third-party strategic collaborators to undertake research and development activities relating to our product candidates, and the success of those collaborations and license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the extent to which we acquire or in-license other product candidates and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ongoing costs of operating as a public company;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general macroeconomic, geopolitical, industry and market conditions, including fluctuations in inflationary rates, tariffs, interest rates and supply chain constraints.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13055"/>
                <wp:effectExtent l="0" t="0" r="0" b="0"/>
                <wp:wrapNone/>
                <wp:docPr id="33" name="Frame3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 result, we will need substantial additional funding to support our continuing operations and pursue our growth strategy. Until such time, if ever, as we can generate substantial product revenue from product sales, we expect to finance our operations through a combination of public or private equity offerings, debt financings, collaborations, strategic partnerships and alliances or marketing, distribution or licensing arrangements with third parties or through other sources of financing. In addition, we may seek additional capital due to favorable market conditions or strategic considerations, even if we believe that we have sufficient funds for our current or future operating plans.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economic developments, military conflicts, political unrest, inflationary pressures,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To the extent that we raise additional capital through the sale of private or public equity or convertible debt securities, the ownership interest of our stockholders may be materially diluted, and the terms of such securities could include liquidation or other preferences and anti-dilution protections that could adversely affect the rights of our common stockholders. Debt financing and preferred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debt financing may involve significant cash payment obligations and specific financial ratios that may restrict our ability to operate our business would result in fixed payment obligations.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If we raise additional funds through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 obtain capital through arrangements with collaborators on terms unfavorable to us or pursue merger or acquisition strategies, all of which could adversely affect the holdings or the rights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summarizes our contractual obligations as of June 30, 2026:</w:t>
      </w:r>
    </w:p>
    <w:tbl>
      <w:tblPr>
        <w:tblW w:w="10205" w:type="dxa"/>
        <w:jc w:val="left"/>
        <w:tblInd w:w="0" w:type="dxa"/>
        <w:tblLayout w:type="fixed"/>
        <w:tblCellMar>
          <w:top w:w="28" w:type="dxa"/>
          <w:left w:w="28" w:type="dxa"/>
          <w:bottom w:w="28" w:type="dxa"/>
          <w:right w:w="28" w:type="dxa"/>
        </w:tblCellMar>
      </w:tblPr>
      <w:tblGrid>
        <w:gridCol w:w="847"/>
        <w:gridCol w:w="743"/>
        <w:gridCol w:w="747"/>
        <w:gridCol w:w="314"/>
        <w:gridCol w:w="984"/>
        <w:gridCol w:w="152"/>
        <w:gridCol w:w="109"/>
        <w:gridCol w:w="109"/>
        <w:gridCol w:w="109"/>
        <w:gridCol w:w="254"/>
        <w:gridCol w:w="795"/>
        <w:gridCol w:w="122"/>
        <w:gridCol w:w="109"/>
        <w:gridCol w:w="109"/>
        <w:gridCol w:w="109"/>
        <w:gridCol w:w="254"/>
        <w:gridCol w:w="795"/>
        <w:gridCol w:w="122"/>
        <w:gridCol w:w="109"/>
        <w:gridCol w:w="109"/>
        <w:gridCol w:w="109"/>
        <w:gridCol w:w="337"/>
        <w:gridCol w:w="1056"/>
        <w:gridCol w:w="162"/>
        <w:gridCol w:w="109"/>
        <w:gridCol w:w="109"/>
        <w:gridCol w:w="109"/>
        <w:gridCol w:w="226"/>
        <w:gridCol w:w="826"/>
        <w:gridCol w:w="161"/>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78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Payments Due by Period</w:t>
            </w:r>
          </w:p>
        </w:tc>
      </w:tr>
      <w:tr>
        <w:trPr/>
        <w:tc>
          <w:tcPr>
            <w:tcW w:w="233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12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Property leases - commenced</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7,390 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4,498 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2,744 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19,293 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4,661 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7,390 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4,498 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2,744 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40"/>
              <w:jc w:val="left"/>
              <w:rPr/>
            </w:pPr>
            <w:r>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19,293 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Property leases – commenced</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amounts reported for property leases represent future minimum lease payments under non-cancelable operating leases in effect as of June 30, 2026. The minimum lease payments do not include common area maintenance charges or real estate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3055"/>
                <wp:effectExtent l="0" t="0" r="0" b="0"/>
                <wp:wrapNone/>
                <wp:docPr id="34" name="Frame3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Other contractual obligations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contractual obligations table does not include any potential future milestone payments or royalty payments we may be required to make or receive under our existing license agreements due to the uncertainty of the occurrence of the events requiring payment under those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Critical accounting policies and significant judgments and use of estimates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condensed consolidated financial statements are prepared in accordance with generally accepted accounting principles in the United States (GAAP). The preparation of our condensed consolidated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Our critical accounting policies are described under the heading “Management’s Discussion and Analysis of Financial Condition and Results of Operations— Critical Accounting Policies and Use of Estimates” in our Annual Report on Form 10-K for the year ended December 31, 2025, which was filed with the SEC on March 16, 2026. During the six months ended June 30, 2026, there were no material changes to our critical accounting policies from those previously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Recently issued accounting pronouncements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 description of recently issued accounting pronouncements that may potentially impact our financial position and results of operations is disclosed in Note 2 to our condensed consolidated financial statements appearing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Smaller reporting company status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Effective as of December 31, 2025, the fifth anniversary of the closing of our IPO, we ceased to qualify as an “emerging growth company,” as defined in the Jumpstart Our Business Startups Act of 2012, as amended. As a result, commencing with our Annual Report on Form 10-K for the year ended December 31, 2025, we are no longer eligible to take advantage of certain exemptions from various reporting requirements that are applicable to emerging growth companies.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Despite our loss of emerging growth company status, we are still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continue to rely on exemptions from certain disclosure requirements that are available to smaller reporting companies despite the loss of emerging growth company status.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Quantitative and Qualitative Disclosure About Market Risk</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are a smaller reporting company as defined by Rule 12b-2 of the Exchange Act and are not required to provide the information required under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13055"/>
                <wp:effectExtent l="0" t="0" r="0" b="0"/>
                <wp:wrapNone/>
                <wp:docPr id="35" name="Frame3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evaluated the effectiveness of our disclosure controls and procedures (as defined in Rule 13a-15(e) of the Exchange Act) as of the end of the period covered by this Quarterly Report. Based on that evaluation, our Principal Executive Officer and Principal Financial Officer concluded that our disclosure controls and procedures were effective as of June 30, 2026.</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of the Exchange Act) that occurred during the three months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13055"/>
                <wp:effectExtent l="0" t="0" r="0" b="0"/>
                <wp:wrapNone/>
                <wp:docPr id="36" name="Frame3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arising in the ordinary course of our business. We are not currently aware of any such proceedings or claims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carefully consider the discussion of risk factors in Part I, “Item 1A. Risk Factors” in our Annual Report on Form 10-K for the year ended December 31, 2025, which could materially affect our business, financial condition or future results, in addition to other information contained in or incorporated by reference into this Quarterly Report on Form 10-Q and our other public filings with the Securities and Exchange Commission, or the SEC. Additional risks and uncertainties not presently known to us or that we currently deem immaterial may also impair our business, prospects, financial condition and results of operations. Certain statements in this Quarterly Report are forward-looking statements. Please also see the section entitled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Recent Sales of Unregistered Equity Securities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Issuer Purchases of Equity Securities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10b5-1 Plans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From time to time, our officers (as defined in Rule 16a–1(f)) and directors may enter into Rule 10b5-1 or non-Rule 10b5-1 trading arrangements (as each such term is defined in Item 408 of Regulation S-K). During the three months ended June 30, 2026, none of our officers and directors adopted or terminated a Rule 10b5-1 trading arrangement or a non-Rule 10b5-1 trading arrangement (as defined in Item 408(c) of Regulation S-K) during the quarterly period covered by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13055"/>
                <wp:effectExtent l="0" t="0" r="0" b="0"/>
                <wp:wrapNone/>
                <wp:docPr id="37" name="Frame3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exhibits listed on the Exhibit Index immediately preceding such exhibits, which is incorporated herein by reference,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290"/>
        <w:gridCol w:w="255"/>
        <w:gridCol w:w="256"/>
        <w:gridCol w:w="109"/>
        <w:gridCol w:w="109"/>
        <w:gridCol w:w="109"/>
        <w:gridCol w:w="2646"/>
        <w:gridCol w:w="2646"/>
        <w:gridCol w:w="3785"/>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333" w:before="40" w:after="283"/>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33" w:before="0" w:after="40"/>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Index</w:t>
            </w:r>
          </w:p>
        </w:tc>
      </w:tr>
      <w:tr>
        <w:trPr/>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exhibit311_q22026.htm">
              <w:r>
                <w:rPr>
                  <w:rStyle w:val="InternetLink"/>
                  <w:rFonts w:ascii="Times New Roman;serif" w:hAnsi="Times New Roman;serif"/>
                  <w:b w:val="false"/>
                  <w:color w:val="0000FF"/>
                  <w:sz w:val="22"/>
                  <w:u w:val="single"/>
                </w:rPr>
                <w:t>Certification of Principal Executive Officer Pursuant to Rule 13a-14(a) or Rule 15d-14(a) of the Securities Exchange Act of 1934, as Adopted Pursuant to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_q22026.htm">
              <w:r>
                <w:rPr>
                  <w:rStyle w:val="InternetLink"/>
                  <w:rFonts w:ascii="Times New Roman;serif" w:hAnsi="Times New Roman;serif"/>
                  <w:b w:val="false"/>
                  <w:color w:val="0000FF"/>
                  <w:sz w:val="22"/>
                  <w:u w:val="single"/>
                </w:rPr>
                <w:t>Certification of Principal Financial Officer Pursuant to Rule 13a-14(a) or Rule 15d-14(a) of the Securities Exchange Act of 1934, as Adopted Pursuant to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_q22026.htm">
              <w:r>
                <w:rPr>
                  <w:rStyle w:val="InternetLink"/>
                  <w:rFonts w:ascii="Times New Roman;serif" w:hAnsi="Times New Roman;serif"/>
                  <w:b w:val="false"/>
                  <w:color w:val="0000FF"/>
                  <w:sz w:val="22"/>
                  <w:u w:val="single"/>
                </w:rPr>
                <w:t>Certification Pursuant to 18 U.S.C. Section 1350, as Adopted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0"/>
        <w:gridCol w:w="2830"/>
        <w:gridCol w:w="38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40" w:after="40"/>
              <w:jc w:val="left"/>
              <w:rPr/>
            </w:pPr>
            <w:r>
              <w:rPr/>
            </w:r>
          </w:p>
        </w:tc>
        <w:tc>
          <w:tcPr>
            <w:tcW w:w="9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333" w:before="240" w:after="283"/>
        <w:jc w:val="left"/>
        <w:rPr/>
      </w:pPr>
      <w:hyperlink w:anchor="i5d5b1446b15a434ebf3473ce42ef8970_10">
        <w:r>
          <w:rPr>
            <w:rStyle w:val="InternetLink"/>
            <w:rFonts w:ascii="Times New Roman;serif" w:hAnsi="Times New Roman;serif"/>
            <w:b w:val="false"/>
            <w:color w:val="0000FF"/>
            <w:sz w:val="22"/>
            <w:u w:val="single"/>
          </w:rPr>
          <w:t>Table of Contents</w:t>
        </w:r>
      </w:hyperlink>
    </w:p>
    <w:p>
      <w:pPr>
        <w:pStyle w:val="TextBody"/>
        <w:bidi w:val="0"/>
        <w:spacing w:lineRule="auto" w:line="288" w:before="240" w:after="283"/>
        <w:jc w:val="center"/>
        <w:rPr>
          <w:rFonts w:ascii="Times New Roman;serif" w:hAnsi="Times New Roman;serif"/>
          <w:b/>
          <w:color w:val="000000"/>
          <w:sz w:val="22"/>
          <w:u w:val="single"/>
        </w:rPr>
      </w:pPr>
      <w:r>
        <w:rPr>
          <w:rFonts w:ascii="Times New Roman;serif" w:hAnsi="Times New Roman;serif"/>
          <w:b/>
          <w:color w:val="000000"/>
          <w:sz w:val="22"/>
          <w:u w:val="single"/>
        </w:rPr>
        <w:t>SIGNATURES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7442" w:type="dxa"/>
        <w:jc w:val="left"/>
        <w:tblInd w:w="0" w:type="dxa"/>
        <w:tblLayout w:type="fixed"/>
        <w:tblCellMar>
          <w:top w:w="28" w:type="dxa"/>
          <w:left w:w="28" w:type="dxa"/>
          <w:bottom w:w="28" w:type="dxa"/>
          <w:right w:w="28" w:type="dxa"/>
        </w:tblCellMar>
      </w:tblPr>
      <w:tblGrid>
        <w:gridCol w:w="771"/>
        <w:gridCol w:w="678"/>
        <w:gridCol w:w="681"/>
        <w:gridCol w:w="541"/>
        <w:gridCol w:w="541"/>
        <w:gridCol w:w="541"/>
        <w:gridCol w:w="1074"/>
        <w:gridCol w:w="1074"/>
        <w:gridCol w:w="1541"/>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531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Black Diamond Therapeutics, Inc.</w:t>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2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689"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89"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2"/>
              </w:rPr>
            </w:pPr>
            <w:r>
              <w:rPr>
                <w:rFonts w:ascii="Times New Roman;serif" w:hAnsi="Times New Roman;serif"/>
                <w:b w:val="false"/>
                <w:color w:val="000000"/>
                <w:sz w:val="22"/>
              </w:rPr>
              <w:t>/s/ Mark A. Velleca</w:t>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2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3" w:before="40" w:after="40"/>
              <w:jc w:val="left"/>
              <w:rPr>
                <w:rFonts w:ascii="Times New Roman;serif" w:hAnsi="Times New Roman;serif"/>
                <w:b w:val="false"/>
                <w:color w:val="000000"/>
                <w:sz w:val="22"/>
              </w:rPr>
            </w:pPr>
            <w:r>
              <w:rPr>
                <w:rFonts w:ascii="Times New Roman;serif" w:hAnsi="Times New Roman;serif"/>
                <w:b w:val="false"/>
                <w:color w:val="000000"/>
                <w:sz w:val="22"/>
              </w:rPr>
              <w:t>Mark A. Velleca</w:t>
            </w:r>
          </w:p>
          <w:p>
            <w:pPr>
              <w:pStyle w:val="TableContents"/>
              <w:bidi w:val="0"/>
              <w:spacing w:lineRule="auto" w:line="333" w:before="40" w:after="40"/>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p>
            <w:pPr>
              <w:pStyle w:val="TableContents"/>
              <w:bidi w:val="0"/>
              <w:spacing w:lineRule="auto" w:line="333" w:before="0" w:after="4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tbl>
      <w:tblPr>
        <w:tblW w:w="9678" w:type="dxa"/>
        <w:jc w:val="center"/>
        <w:tblInd w:w="0" w:type="dxa"/>
        <w:tblLayout w:type="fixed"/>
        <w:tblCellMar>
          <w:top w:w="28" w:type="dxa"/>
          <w:left w:w="28" w:type="dxa"/>
          <w:bottom w:w="28" w:type="dxa"/>
          <w:right w:w="28" w:type="dxa"/>
        </w:tblCellMar>
      </w:tblPr>
      <w:tblGrid>
        <w:gridCol w:w="771"/>
        <w:gridCol w:w="678"/>
        <w:gridCol w:w="681"/>
        <w:gridCol w:w="541"/>
        <w:gridCol w:w="541"/>
        <w:gridCol w:w="541"/>
        <w:gridCol w:w="1726"/>
        <w:gridCol w:w="1726"/>
        <w:gridCol w:w="247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75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Black Diamond Therapeutics, Inc.</w:t>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2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5925"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92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2"/>
              </w:rPr>
            </w:pPr>
            <w:r>
              <w:rPr>
                <w:rFonts w:ascii="Times New Roman;serif" w:hAnsi="Times New Roman;serif"/>
                <w:b w:val="false"/>
                <w:color w:val="000000"/>
                <w:sz w:val="22"/>
              </w:rPr>
              <w:t>/s/ Erika Jones</w:t>
            </w:r>
          </w:p>
        </w:tc>
      </w:tr>
      <w:tr>
        <w:trPr/>
        <w:tc>
          <w:tcPr>
            <w:tcW w:w="21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23"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5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3" w:before="40" w:after="283"/>
              <w:jc w:val="left"/>
              <w:rPr>
                <w:rFonts w:ascii="Times New Roman;serif" w:hAnsi="Times New Roman;serif"/>
                <w:b w:val="false"/>
                <w:color w:val="000000"/>
                <w:sz w:val="22"/>
              </w:rPr>
            </w:pPr>
            <w:r>
              <w:rPr>
                <w:rFonts w:ascii="Times New Roman;serif" w:hAnsi="Times New Roman;serif"/>
                <w:b w:val="false"/>
                <w:color w:val="000000"/>
                <w:sz w:val="22"/>
              </w:rPr>
              <w:t>Erika Jones</w:t>
            </w:r>
          </w:p>
          <w:p>
            <w:pPr>
              <w:pStyle w:val="TableContents"/>
              <w:bidi w:val="0"/>
              <w:spacing w:lineRule="auto" w:line="333" w:before="4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Finance</w:t>
            </w:r>
          </w:p>
          <w:p>
            <w:pPr>
              <w:pStyle w:val="TableContents"/>
              <w:bidi w:val="0"/>
              <w:spacing w:lineRule="auto" w:line="333" w:before="4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13055"/>
                <wp:effectExtent l="0" t="0" r="0" b="0"/>
                <wp:wrapNone/>
                <wp:docPr id="39" name="Frame3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PRINCIPAL EXECUTIVE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 13a-14(a) OR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Mark A. Velleca,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for the period ended June 30, 2026 of Black Diamond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7283" w:type="dxa"/>
        <w:jc w:val="left"/>
        <w:tblInd w:w="0" w:type="dxa"/>
        <w:tblLayout w:type="fixed"/>
        <w:tblCellMar>
          <w:top w:w="28" w:type="dxa"/>
          <w:left w:w="28" w:type="dxa"/>
          <w:bottom w:w="28" w:type="dxa"/>
          <w:right w:w="28" w:type="dxa"/>
        </w:tblCellMar>
      </w:tblPr>
      <w:tblGrid>
        <w:gridCol w:w="771"/>
        <w:gridCol w:w="678"/>
        <w:gridCol w:w="681"/>
        <w:gridCol w:w="384"/>
        <w:gridCol w:w="384"/>
        <w:gridCol w:w="386"/>
        <w:gridCol w:w="1099"/>
        <w:gridCol w:w="1099"/>
        <w:gridCol w:w="1102"/>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Mark A. Velleca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Mark A. Velleca</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President, Chief Executive Officer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and Director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 13a-14(a) OR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Erika Jones, certify that: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for the period ended June 30, 2026 of Black Diamond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9142"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1957"/>
        <w:gridCol w:w="1957"/>
        <w:gridCol w:w="1965"/>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Erika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Erika Jones</w:t>
            </w:r>
          </w:p>
          <w:p>
            <w:pPr>
              <w:pStyle w:val="TableContents"/>
              <w:bidi w:val="0"/>
              <w:spacing w:lineRule="auto" w:line="288" w:before="4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Finance</w:t>
            </w:r>
          </w:p>
          <w:p>
            <w:pPr>
              <w:pStyle w:val="TableContents"/>
              <w:bidi w:val="0"/>
              <w:spacing w:lineRule="auto" w:line="288" w:before="4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CERTIFICATION PURSUANT TO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18 U.S.C. Section 1350, as adopted pursuant to Section 906 of the Sarbanes-Oxley Act of 2002, Mark A. Velleca, the Principal Executive Officer, and Erika Jones, the Principal Financial Officer, of Black Diamond Therapeutics, Inc. (the “Company”), hereby certify, that, to their knowledge: </w:t>
      </w:r>
    </w:p>
    <w:p>
      <w:pPr>
        <w:pStyle w:val="TextBody"/>
        <w:bidi w:val="0"/>
        <w:spacing w:before="0" w:after="0"/>
        <w:ind w:left="0" w:right="0" w:firstLine="36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period ended June 30, 2026 (the “Report”) of the Company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563"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1099"/>
        <w:gridCol w:w="1099"/>
        <w:gridCol w:w="1102"/>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Mark A. Velleca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Mark A. Velleca</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President, Chief Executive Officer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and Director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160"/>
        <w:jc w:val="left"/>
        <w:rPr/>
      </w:pPr>
      <w:r>
        <w:rPr/>
      </w:r>
    </w:p>
    <w:tbl>
      <w:tblPr>
        <w:tblW w:w="9142"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1957"/>
        <w:gridCol w:w="1957"/>
        <w:gridCol w:w="1965"/>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Erika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Erika Jones</w:t>
            </w:r>
          </w:p>
          <w:p>
            <w:pPr>
              <w:pStyle w:val="TableContents"/>
              <w:bidi w:val="0"/>
              <w:spacing w:lineRule="auto" w:line="288" w:before="4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Finance</w:t>
            </w:r>
          </w:p>
          <w:p>
            <w:pPr>
              <w:pStyle w:val="TableContents"/>
              <w:bidi w:val="0"/>
              <w:spacing w:lineRule="auto" w:line="288" w:before="4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18237</Words>
  <Characters>103226</Characters>
  <CharactersWithSpaces>120420</CharactersWithSpaces>
  <Paragraphs>1808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