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Kulkarni Samarth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0"/>
        <w:spacing w:after="0" w:line="343" w:lineRule="auto"/>
        <w:rPr>
          <w:sz w:val="20"/>
          <w:szCs w:val="20"/>
          <w:color w:val="auto"/>
        </w:rPr>
      </w:pPr>
      <w:r>
        <w:rPr>
          <w:rFonts w:ascii="Times New Roman" w:cs="Times New Roman" w:eastAsia="Times New Roman" w:hAnsi="Times New Roman"/>
          <w:sz w:val="17"/>
          <w:szCs w:val="17"/>
          <w:color w:val="0000FF"/>
        </w:rPr>
        <w:t>C/O BLACK DIAMOND THERAPEUTICS, INC. ONE MAIN STREET, 14TH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Black Diamond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26, 2027 or (ii) the Issuer's next annual meeting of stockholders, subject to the Reporting Person's continued service on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Brent Hatzis-Schoch,</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2019" TargetMode="External"/><Relationship Id="rId14"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2026-06-29T16:13:43Z</dcterms:created>
  <dcterms:modified xsi:type="dcterms:W3CDTF">2026-06-29T16:13:43Z</dcterms:modified>
</cp:coreProperties>
</file>