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292026_080659.xml.htm"/>
      <w:bookmarkStart w:id="1" w:name="ksform406292026_08065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Dhingra Kapil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BLACK DIAMOND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MAIN STREET, 14TH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Black Diamond Therapeutics, Inc.</w:t>
              </w:r>
            </w:hyperlink>
            <w:r>
              <w:rPr/>
              <w:t xml:space="preserve"> [ </w:t>
            </w:r>
            <w:r>
              <w:rPr>
                <w:rFonts w:ascii="Times;serif" w:hAnsi="Times;serif"/>
                <w:color w:val="0000FF"/>
                <w:sz w:val="24"/>
                <w:shd w:fill="FFFFFF" w:val="clear"/>
              </w:rPr>
              <w:t>BDTX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06/25/2036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subject to this option shall vest and become exercisable in full upon the earlier to occur of (i) June 26, 2027 or (ii) the Issuer's next annual meeting of stockholders, subject to the Reporting Person's continued service on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Brent Hatzis-Schoch,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56849" TargetMode="External"/><Relationship Id="rId5" Type="http://schemas.openxmlformats.org/officeDocument/2006/relationships/hyperlink" Target="http://www.sec.gov/cgi-bin/browse-edgar?action=getcompany&amp;CIK=000170154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615</Words>
  <Characters>3339</Characters>
  <CharactersWithSpaces>3892</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