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Raman Prakash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0"/>
        <w:spacing w:after="0" w:line="343" w:lineRule="auto"/>
        <w:rPr>
          <w:sz w:val="20"/>
          <w:szCs w:val="20"/>
          <w:color w:val="auto"/>
        </w:rPr>
      </w:pPr>
      <w:r>
        <w:rPr>
          <w:rFonts w:ascii="Times New Roman" w:cs="Times New Roman" w:eastAsia="Times New Roman" w:hAnsi="Times New Roman"/>
          <w:sz w:val="17"/>
          <w:szCs w:val="17"/>
          <w:color w:val="0000FF"/>
        </w:rPr>
        <w:t>C/O BLACK DIAMOND THERAPEUTICS, INC. 245 FIRST STREET, 18TH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Black Diamond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26, 2027 or (ii) the Issuer's next annual meeting of stockholders, subject to the Reporting Person's continued service on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Brent Hatzis-Schoch,</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8686" TargetMode="External"/><Relationship Id="rId14"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2026-06-29T16:08:40Z</dcterms:created>
  <dcterms:modified xsi:type="dcterms:W3CDTF">2026-06-29T16:08:40Z</dcterms:modified>
</cp:coreProperties>
</file>