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BLACK DIAMOND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900" w:type="dxa"/>
        <w:tblCellMar>
          <w:top w:w="0" w:type="dxa"/>
          <w:left w:w="0" w:type="dxa"/>
          <w:bottom w:w="0" w:type="dxa"/>
          <w:right w:w="0" w:type="dxa"/>
        </w:tblCellMar>
      </w:tblPr>
      <w:tr>
        <w:trPr>
          <w:trHeight w:val="216"/>
        </w:trPr>
        <w:tc>
          <w:tcPr>
            <w:tcW w:w="2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001-39200</w:t>
            </w: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81-4254660</w:t>
            </w:r>
          </w:p>
        </w:tc>
      </w:tr>
      <w:tr>
        <w:trPr>
          <w:trHeight w:val="216"/>
        </w:trPr>
        <w:tc>
          <w:tcPr>
            <w:tcW w:w="2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280" w:type="dxa"/>
            <w:vAlign w:val="bottom"/>
          </w:tcPr>
          <w:p>
            <w:pPr>
              <w:spacing w:after="0"/>
              <w:rPr>
                <w:sz w:val="24"/>
                <w:szCs w:val="24"/>
                <w:color w:val="auto"/>
              </w:rPr>
            </w:pPr>
          </w:p>
        </w:tc>
        <w:tc>
          <w:tcPr>
            <w:tcW w:w="5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245 First Street, 18th Floor</w:t>
            </w:r>
          </w:p>
        </w:tc>
        <w:tc>
          <w:tcPr>
            <w:tcW w:w="1840" w:type="dxa"/>
            <w:vAlign w:val="bottom"/>
          </w:tcPr>
          <w:p>
            <w:pPr>
              <w:spacing w:after="0"/>
              <w:rPr>
                <w:sz w:val="24"/>
                <w:szCs w:val="24"/>
                <w:color w:val="auto"/>
              </w:rPr>
            </w:pPr>
          </w:p>
        </w:tc>
      </w:tr>
      <w:tr>
        <w:trPr>
          <w:trHeight w:val="216"/>
        </w:trPr>
        <w:tc>
          <w:tcPr>
            <w:tcW w:w="2280" w:type="dxa"/>
            <w:vAlign w:val="bottom"/>
          </w:tcPr>
          <w:p>
            <w:pPr>
              <w:spacing w:after="0"/>
              <w:rPr>
                <w:sz w:val="18"/>
                <w:szCs w:val="18"/>
                <w:color w:val="auto"/>
              </w:rPr>
            </w:pPr>
          </w:p>
        </w:tc>
        <w:tc>
          <w:tcPr>
            <w:tcW w:w="5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Cambridge, MA 02142</w:t>
            </w:r>
          </w:p>
        </w:tc>
        <w:tc>
          <w:tcPr>
            <w:tcW w:w="1840" w:type="dxa"/>
            <w:vAlign w:val="bottom"/>
          </w:tcPr>
          <w:p>
            <w:pPr>
              <w:spacing w:after="0"/>
              <w:rPr>
                <w:sz w:val="18"/>
                <w:szCs w:val="18"/>
                <w:color w:val="auto"/>
              </w:rPr>
            </w:pPr>
          </w:p>
        </w:tc>
      </w:tr>
      <w:tr>
        <w:trPr>
          <w:trHeight w:val="238"/>
        </w:trPr>
        <w:tc>
          <w:tcPr>
            <w:tcW w:w="2280" w:type="dxa"/>
            <w:vAlign w:val="bottom"/>
          </w:tcPr>
          <w:p>
            <w:pPr>
              <w:spacing w:after="0"/>
              <w:rPr>
                <w:sz w:val="20"/>
                <w:szCs w:val="20"/>
                <w:color w:val="auto"/>
              </w:rPr>
            </w:pPr>
          </w:p>
        </w:tc>
        <w:tc>
          <w:tcPr>
            <w:tcW w:w="5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1840" w:type="dxa"/>
            <w:vAlign w:val="bottom"/>
          </w:tcPr>
          <w:p>
            <w:pPr>
              <w:spacing w:after="0"/>
              <w:rPr>
                <w:sz w:val="20"/>
                <w:szCs w:val="20"/>
                <w:color w:val="auto"/>
              </w:rPr>
            </w:pPr>
          </w:p>
        </w:tc>
      </w:tr>
      <w:tr>
        <w:trPr>
          <w:trHeight w:val="410"/>
        </w:trPr>
        <w:tc>
          <w:tcPr>
            <w:tcW w:w="2280" w:type="dxa"/>
            <w:vAlign w:val="bottom"/>
          </w:tcPr>
          <w:p>
            <w:pPr>
              <w:spacing w:after="0"/>
              <w:rPr>
                <w:sz w:val="24"/>
                <w:szCs w:val="24"/>
                <w:color w:val="auto"/>
              </w:rPr>
            </w:pPr>
          </w:p>
        </w:tc>
        <w:tc>
          <w:tcPr>
            <w:tcW w:w="5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(617) 252-0848</w:t>
            </w:r>
          </w:p>
        </w:tc>
        <w:tc>
          <w:tcPr>
            <w:tcW w:w="1840" w:type="dxa"/>
            <w:vAlign w:val="bottom"/>
          </w:tcPr>
          <w:p>
            <w:pPr>
              <w:spacing w:after="0"/>
              <w:rPr>
                <w:sz w:val="24"/>
                <w:szCs w:val="24"/>
                <w:color w:val="auto"/>
              </w:rPr>
            </w:pPr>
          </w:p>
        </w:tc>
      </w:tr>
      <w:tr>
        <w:trPr>
          <w:trHeight w:val="238"/>
        </w:trPr>
        <w:tc>
          <w:tcPr>
            <w:tcW w:w="2280" w:type="dxa"/>
            <w:vAlign w:val="bottom"/>
          </w:tcPr>
          <w:p>
            <w:pPr>
              <w:spacing w:after="0"/>
              <w:rPr>
                <w:sz w:val="20"/>
                <w:szCs w:val="20"/>
                <w:color w:val="auto"/>
              </w:rPr>
            </w:pPr>
          </w:p>
        </w:tc>
        <w:tc>
          <w:tcPr>
            <w:tcW w:w="5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840" w:type="dxa"/>
            <w:vAlign w:val="bottom"/>
          </w:tcPr>
          <w:p>
            <w:pPr>
              <w:spacing w:after="0"/>
              <w:rPr>
                <w:sz w:val="20"/>
                <w:szCs w:val="20"/>
                <w:color w:val="auto"/>
              </w:rPr>
            </w:pPr>
          </w:p>
        </w:tc>
      </w:tr>
    </w:tbl>
    <w:p>
      <w:pPr>
        <w:spacing w:after="0" w:line="194"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One Main Street, 14th Floor</w:t>
      </w:r>
    </w:p>
    <w:p>
      <w:pPr>
        <w:spacing w:after="0" w:line="31"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9"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Trading</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060" w:type="dxa"/>
            <w:vAlign w:val="bottom"/>
            <w:gridSpan w:val="2"/>
          </w:tcPr>
          <w:p>
            <w:pPr>
              <w:jc w:val="center"/>
              <w:ind w:right="2760"/>
              <w:spacing w:after="0" w:line="196"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1560" w:type="dxa"/>
            <w:vAlign w:val="bottom"/>
            <w:gridSpan w:val="2"/>
          </w:tcPr>
          <w:p>
            <w:pPr>
              <w:jc w:val="center"/>
              <w:ind w:right="880"/>
              <w:spacing w:after="0" w:line="196" w:lineRule="exact"/>
              <w:rPr>
                <w:sz w:val="20"/>
                <w:szCs w:val="20"/>
                <w:color w:val="auto"/>
              </w:rPr>
            </w:pPr>
            <w:r>
              <w:rPr>
                <w:rFonts w:ascii="Times New Roman" w:cs="Times New Roman" w:eastAsia="Times New Roman" w:hAnsi="Times New Roman"/>
                <w:sz w:val="18"/>
                <w:szCs w:val="18"/>
                <w:color w:val="auto"/>
                <w:w w:val="90"/>
              </w:rPr>
              <w:t>Symbol(s)</w:t>
            </w:r>
          </w:p>
        </w:tc>
        <w:tc>
          <w:tcPr>
            <w:tcW w:w="4060" w:type="dxa"/>
            <w:vAlign w:val="bottom"/>
            <w:gridSpan w:val="3"/>
          </w:tcPr>
          <w:p>
            <w:pPr>
              <w:jc w:val="center"/>
              <w:ind w:left="770"/>
              <w:spacing w:after="0" w:line="196"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76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532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5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color w:val="auto"/>
              </w:rPr>
              <w:t>BDTX</w:t>
            </w:r>
          </w:p>
        </w:tc>
        <w:tc>
          <w:tcPr>
            <w:tcW w:w="860" w:type="dxa"/>
            <w:vAlign w:val="bottom"/>
          </w:tcPr>
          <w:p>
            <w:pPr>
              <w:spacing w:after="0"/>
              <w:rPr>
                <w:sz w:val="24"/>
                <w:szCs w:val="24"/>
                <w:color w:val="auto"/>
              </w:rPr>
            </w:pPr>
          </w:p>
        </w:tc>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21, 2026, Black Diamond Therapeutics, Inc. (the “Company”) issued a press release titled “Black Diamond Therapeutics Announces Positive Phase 2 Results for Silevertinib in Frontline NSCLC Patients with EGFR Non-Classical Mutations.” A copy of the press release is furnished as Exhibit 99.1 to this Current Report on Form 8-K and is incorporated herein by reference.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21, 2026, the Company announced results from its Phase 2 trial of silevertinib in frontline (“1L”) non-small cell lung cancer (“NSCLC”) patients with epidermal growth factor receptor (“EGFR”) non-classical mutations (“NCMs”).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Silevertinib 1L NSCLC Phase 2 Results Summary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Forty-three frontline NSCLC patients harboring a broad spectrum of EGFR-NCMs, including compound and P-Loop and C-Helix Compressing (“PACC”) mutations, were enrolled, including 19 patients with brain metastases, seven of whom had measurable central nervous system (“CNS”) target lesions. All patients were enrolled at a 200 mg oral daily dose (“QD”) of silevertinib. Efficacy and safety were assessed with an April 11, 2026 data cutoff date; median follow-up time as of this date was 11.2 months, and the study remains ongoing.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data highlights include:</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Durability</w:t>
      </w:r>
    </w:p>
    <w:p>
      <w:pPr>
        <w:spacing w:after="0" w:line="224" w:lineRule="exact"/>
        <w:rPr>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median progression-free survival is 15.2 months (95% CI: 10.8, NE)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duration of response (“DOR”) had not been reached (95% CI: 7.0, NE)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of 43 patients (53%) remain on therapy, with longest at 23.5 months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CNS Activity</w:t>
      </w:r>
    </w:p>
    <w:p>
      <w:pPr>
        <w:spacing w:after="0" w:line="222" w:lineRule="exact"/>
        <w:rPr>
          <w:rFonts w:ascii="Arial" w:cs="Arial" w:eastAsia="Arial" w:hAnsi="Arial"/>
          <w:sz w:val="18"/>
          <w:szCs w:val="18"/>
          <w:b w:val="1"/>
          <w:bCs w:val="1"/>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patients developed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brain metastases</w:t>
      </w:r>
    </w:p>
    <w:p>
      <w:pPr>
        <w:spacing w:after="0" w:line="2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disclosed CNS Objective Response Rate (“ORR”) (ORR by RANO-BM) remained at 86%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ORR and DCR</w:t>
      </w:r>
    </w:p>
    <w:p>
      <w:pPr>
        <w:spacing w:after="0" w:line="224" w:lineRule="exact"/>
        <w:rPr>
          <w:rFonts w:ascii="Arial" w:cs="Arial" w:eastAsia="Arial" w:hAnsi="Arial"/>
          <w:sz w:val="18"/>
          <w:szCs w:val="18"/>
          <w:b w:val="1"/>
          <w:bCs w:val="1"/>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disclosed ORR (ORR by RECIST 1.1) and Disease Control Rate (“DCR”) remained at 60% and 91%, respectively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Variant allele frequency reduction observed in all evaluable patients across 25 unique EGFR-NCMs, including PACC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Safety</w:t>
      </w:r>
    </w:p>
    <w:p>
      <w:pPr>
        <w:spacing w:after="0" w:line="224" w:lineRule="exact"/>
        <w:rPr>
          <w:rFonts w:ascii="Arial" w:cs="Arial" w:eastAsia="Arial" w:hAnsi="Arial"/>
          <w:sz w:val="18"/>
          <w:szCs w:val="18"/>
          <w:b w:val="1"/>
          <w:bCs w:val="1"/>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new safety signals were observed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rate of treatment-related adverse events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 xml:space="preserve"> Grade 3 was reduced to 28% following dose reduction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maintained or deepened clinical responses after dose reduction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data support 150 mg QD for pivotal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contained in this Current Report on Form 8-K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continued development and advancement of silevertinib, including the ongoing Phase 2 clinical trials and the timing of clinical updates for silevertinib in patients with NSCLC and in patients with GBM, the potential of silevertinib to address the unmet medical need for newly diagnosed GBM patients and newly diagnosed NSCLC patients with non-classical EGFR mutations and benefit patients with NSCLC across multiple lines of therapy, the potential future development plans for silevertinib in NSCLC and GBM, and the competitive landscape and market for silevertinib or any of the Company’s other current or future product candidates, including statements relating to the estimated percentage of newly diagnosed NSCLC patients with non-classical EGFR mutations and the potential addressable patient population. Any forward-looking statements in this Current Report on Form 8-K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those risks and uncertainties set forth in the Company’s Annual Report on Form 10-K for the year ended December 31, 2025, filed with the United States Securities and Exchange Commission (the “SEC”) and in its subsequent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576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32"/>
        </w:trPr>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4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80" w:type="dxa"/>
            <w:vAlign w:val="bottom"/>
          </w:tcPr>
          <w:p>
            <w:pPr>
              <w:spacing w:after="0"/>
              <w:rPr>
                <w:sz w:val="14"/>
                <w:szCs w:val="14"/>
                <w:color w:val="auto"/>
              </w:rPr>
            </w:pPr>
          </w:p>
        </w:tc>
        <w:tc>
          <w:tcPr>
            <w:tcW w:w="96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issued by Black Diamond Therapeutics, Inc. dated May 21, 2026.</w:t>
            </w:r>
          </w:p>
        </w:tc>
      </w:tr>
      <w:tr>
        <w:trPr>
          <w:trHeight w:val="20"/>
        </w:trPr>
        <w:tc>
          <w:tcPr>
            <w:tcW w:w="3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60" w:type="dxa"/>
            <w:vAlign w:val="bottom"/>
            <w:shd w:val="clear" w:color="auto" w:fill="0000EE"/>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Black Diamond Therapeutics,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Brent Hatzis-Schoch</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Brent Hatzis-Schoch</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and General Counsel</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468880" cy="617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888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Black Diamond Therapeutics Announces Positive Phase 2 Results for Silevertinib in Frontline NSCLC Patients with EGFR Non-Classical Mutations</w:t>
      </w:r>
    </w:p>
    <w:p>
      <w:pPr>
        <w:spacing w:after="0" w:line="15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Preliminary mPFS of 15.2 months; mDOR not reached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Robust CNS activity, with 86% CNS ORR; no patients developed de novo brain metastases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ORR 60% in patients with a broad spectrum of EGFR-NCMs, including PACC</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Dose dependent and manageable AE profile, no new safety signals observed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Webcast on Thursday, May 21, 2026 at 5:30 pm EDT</w:t>
      </w:r>
    </w:p>
    <w:p>
      <w:pPr>
        <w:spacing w:after="0" w:line="22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CAMBRIDGE, MA, </w:t>
      </w:r>
      <w:r>
        <w:rPr>
          <w:rFonts w:ascii="Times New Roman" w:cs="Times New Roman" w:eastAsia="Times New Roman" w:hAnsi="Times New Roman"/>
          <w:sz w:val="18"/>
          <w:szCs w:val="18"/>
          <w:i w:val="1"/>
          <w:iCs w:val="1"/>
          <w:color w:val="auto"/>
        </w:rPr>
        <w:t>May 21,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(GLOBE NEWSWIRE) – Black Diamond Therapeutics, Inc. (Nasdaq: BDTX), a clinical-stage oncology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developing MasterKey therapies that target families of oncogenic mutations in patients with cancer, today announced positive results from its Phase 2 trial of silevertinib in frontline (1L) non-small cell lung cancer (NSCLC) patients with epidermal growth factor receptor (EGFR) non-classical mutations (NCMs). These data will be presented by Julia Rotow, M.D., Clinical Director, Lowe Center for Thoracic Oncology at the Dana-Farber Cancer Institute, at the 2026 American Society of Clinical Oncology® (ASCO®) Annual Meeting on Saturday, May 30, 2026, 1:15 PM-2:45 PM CDT.</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“Silevertinib continues to demonstrate potential to become a practice changing frontline therapy for NSCLC patients with EGFR-NCMs, delivering robust preliminary mPFS that far exceeds historical data for currently available therapies” said Sergey Yurasov, M.D., Ph.D., Chief Medical Officer of Black Diamond Therapeutics. “Importantly, silevertinib prevented the development of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brain metastases in this patient population, where progression via CNS metastases frequently occurs. We look forward to meeting with the FDA later this year to discuss our pivotal development plan.”</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“Patients with EGFR non-classical mutations represent a meaningful and underserved subset of NSCLC, with historically poor progression-free survival on available frontline TKIs,” added Dr. Rotow. “The activity we are seeing with silevertinib across the full NCM spectrum, combined with its CNS activity, is highly encouraging, and I look forward to sharing these data with the oncology community at ASCO next week.”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Silevertinib 1L NSCLC Phase 2 Results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as of an April 11, 2026 data cutoff date include:</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43 patients with 1L NSCLC were enrolled at a 200 mg once daily dose of silevertinib</w:t>
      </w:r>
    </w:p>
    <w:p>
      <w:pPr>
        <w:spacing w:after="0" w:line="224" w:lineRule="exact"/>
        <w:rPr>
          <w:sz w:val="20"/>
          <w:szCs w:val="20"/>
          <w:color w:val="auto"/>
        </w:rPr>
      </w:pPr>
    </w:p>
    <w:p>
      <w:pPr>
        <w:ind w:left="1300" w:right="740" w:hanging="320"/>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presented with a broad spectrum of EGFR-NCMs, including compound and P-Loop and C-Helix Compressing (PACC)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patients with brain metastases, 7 of whom had measurable central nervous system (CNS) target lesions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 months median follow-up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Durability</w:t>
      </w:r>
    </w:p>
    <w:p>
      <w:pPr>
        <w:spacing w:after="0" w:line="224" w:lineRule="exact"/>
        <w:rPr>
          <w:rFonts w:ascii="Arial" w:cs="Arial" w:eastAsia="Arial" w:hAnsi="Arial"/>
          <w:sz w:val="18"/>
          <w:szCs w:val="18"/>
          <w:b w:val="1"/>
          <w:bCs w:val="1"/>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median Progression-free Survival (mPFS) is 15.2 months (95% CI: 10.8; NE)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duration of response (DOR) had not been reached (95%CI: 7.0, NE)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of 43 patients (53%) remain on therapy, with longest at 23.5 months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CNS Activity</w:t>
      </w:r>
    </w:p>
    <w:p>
      <w:pPr>
        <w:spacing w:after="0" w:line="222" w:lineRule="exact"/>
        <w:rPr>
          <w:rFonts w:ascii="Arial" w:cs="Arial" w:eastAsia="Arial" w:hAnsi="Arial"/>
          <w:sz w:val="18"/>
          <w:szCs w:val="18"/>
          <w:b w:val="1"/>
          <w:bCs w:val="1"/>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patients developed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brain metastases</w:t>
      </w:r>
    </w:p>
    <w:p>
      <w:pPr>
        <w:spacing w:after="0" w:line="2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disclosed CNS Objective Response Rate (ORR by RANO-BM) remained at 86%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ORR and DCR</w:t>
      </w:r>
    </w:p>
    <w:p>
      <w:pPr>
        <w:spacing w:after="0" w:line="224" w:lineRule="exact"/>
        <w:rPr>
          <w:rFonts w:ascii="Arial" w:cs="Arial" w:eastAsia="Arial" w:hAnsi="Arial"/>
          <w:sz w:val="18"/>
          <w:szCs w:val="18"/>
          <w:b w:val="1"/>
          <w:bCs w:val="1"/>
          <w:color w:val="auto"/>
        </w:rPr>
      </w:pPr>
    </w:p>
    <w:p>
      <w:pPr>
        <w:ind w:left="1300" w:right="260" w:hanging="320"/>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disclosed Objective Response Rate (ORR by RECIST 1.1) and Disease Control Rate (DCR) remained at 60% and 91%, respectively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Variant allele frequency (VAF) reduction observed in all evaluable patients across 25 unique EGFR-NCMs, including PACC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Safety</w:t>
      </w:r>
    </w:p>
    <w:p>
      <w:pPr>
        <w:spacing w:after="0" w:line="224" w:lineRule="exact"/>
        <w:rPr>
          <w:rFonts w:ascii="Arial" w:cs="Arial" w:eastAsia="Arial" w:hAnsi="Arial"/>
          <w:sz w:val="18"/>
          <w:szCs w:val="18"/>
          <w:b w:val="1"/>
          <w:bCs w:val="1"/>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new safety signals were observed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rate of TRAEs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 xml:space="preserve"> Grade 3 was reduced to 28% following dose reduction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maintained or deepened clinical responses after dose reduction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data support 150 mg QD for pivotal development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ASCO Abstract: </w:t>
      </w:r>
      <w:r>
        <w:rPr>
          <w:rFonts w:ascii="Times New Roman" w:cs="Times New Roman" w:eastAsia="Times New Roman" w:hAnsi="Times New Roman"/>
          <w:sz w:val="18"/>
          <w:szCs w:val="18"/>
          <w:color w:val="auto"/>
        </w:rPr>
        <w:t>8519</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Safety and efficacy results of the phase 2 study of silevertinib (BDTX-1535) in treatment-naïve patients with non-small cell lung cancer with non-classical EGFR mutations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Presenter</w:t>
      </w:r>
      <w:r>
        <w:rPr>
          <w:rFonts w:ascii="Times New Roman" w:cs="Times New Roman" w:eastAsia="Times New Roman" w:hAnsi="Times New Roman"/>
          <w:sz w:val="18"/>
          <w:szCs w:val="18"/>
          <w:color w:val="auto"/>
        </w:rPr>
        <w:t>: Julia Rotow, M.D., Clinical Director, Lowe Center for Thoracic Oncology at Dana-Farber Cancer Institute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and Time</w:t>
      </w:r>
      <w:r>
        <w:rPr>
          <w:rFonts w:ascii="Times New Roman" w:cs="Times New Roman" w:eastAsia="Times New Roman" w:hAnsi="Times New Roman"/>
          <w:sz w:val="18"/>
          <w:szCs w:val="18"/>
          <w:color w:val="auto"/>
        </w:rPr>
        <w:t>: May 30, 2026, 1:15 PM-2:45 PM CDT (slides will be available at the time of the presentation on the Black Diamond website)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Webcast Information</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Black Diamond will hold a webcast for investors on Thursday, May 21, 2026 at 5:30 p.m. EDT. The webcast can be accessed under “Events and Presentations” on the Investors section of the Black Diamond website at www.blackdiamondtherapeutics.com.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904" w:right="5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Silevertinib</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Silevertinib is an investigational oral, covalent, brain-penetrant fourth-generation tyrosine kinase inhibitor (TKI) that selectively targets classical and more than 50 non-classical EGFR mutations in NSCLC. It is also designed to potently inhibit key EGFR alterations seen in GBM, including EGFRvIII, while avoiding the paradoxical EGFR activation reported with reversible TKIs. To date, over 200 patients with EGFR-mutant NSCLC or EGFR-altered GBM have been treated with silevertinib.</w:t>
      </w:r>
    </w:p>
    <w:p>
      <w:pPr>
        <w:spacing w:after="0" w:line="180"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 addition to the ongoing Phase 2 trial of silevertinib in patients with EGFRm NSCLC, the Company also initiated a randomized Phase 2 trial of silevertinib in patients with newly diagnosed EGFRvIII-positive GBM (NCT07326566) in May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Black Diamond Therapeutics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Black Diamond Therapeutics is a clinical-stage oncology company developing MasterKey therapies that target families of oncogenic mutations in patients with cancer. The Company’s MasterKey therapies are designed to address a broad spectrum of genetically defined tumors, overcome resistance, minimize wild-type mediated toxicities, and be brain penetrant to treat central nervous system disease. The Company is advancing silevertinib, an investigational brain-penetrant fourth-generation EGFR MasterKey inhibitor targeting EGFR-mutant NSCLC and GBM. For more information, please visit </w:t>
      </w:r>
      <w:r>
        <w:rPr>
          <w:rFonts w:ascii="Times New Roman" w:cs="Times New Roman" w:eastAsia="Times New Roman" w:hAnsi="Times New Roman"/>
          <w:sz w:val="18"/>
          <w:szCs w:val="18"/>
          <w:u w:val="single" w:color="auto"/>
          <w:color w:val="auto"/>
        </w:rPr>
        <w:t>www.blackdiamondtherapeutics.com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we may use our website or our LinkedIn profile at www.linkedin.com/company/black-diamond-therapeutics to distribute material information. Our financial and other material information is routinely posted to and accessible on the Investors section of our website, available at www.blackdiamondtherapeutics.com. Investors are encouraged to review the Investors section of our website because we may post material information on that site that is not otherwise disseminated by us. Information that is contained in and can be accessed through our website or our LinkedIn page is not incorporated into, and does not form a part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continued development and advancement of silevertinib, including the ongoing Phase 2 clinical trials and the timing of clinical updates for silevertinib in patients with NSCLC and in patients with GBM, the potential of silevertinib to address the unmet medical need for newly diagnosed GBM patients and newly diagnosed NSCLC patients with non-classical EGFR mutations and benefit patients with NSCLC across multiple lines of therapy, the potential future development plans for silevertinib in NSCLC and GBM, and the competitive landscape and market for silevertinib or any of the Company’s other current or future product candidates, including statements relating to the estimated percentage of newly diagnosed NSCLC patients with non-classical EGFR mutations and the potential addressable patient population. Any forward-looking statements in this press release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those risks and uncertainties set forth in its Annual Report on Form 10-K for the year ended December 31, 2025, filed with the United States Securities and Exchange Commission and in its subsequent filings filed with the United States Securities and Exchange Commission.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investors@bdtx.com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media@bdtx.com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o"/>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o"/>
      <w:numFmt w:val="bullet"/>
      <w:start w:val="1"/>
    </w:lvl>
  </w:abstractNum>
  <w:abstractNum w:abstractNumId="6">
    <w:nsid w:val="41B71EFB"/>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2026-05-21T16:52:03Z</dcterms:created>
  <dcterms:modified xsi:type="dcterms:W3CDTF">2026-05-21T16:52:03Z</dcterms:modified>
</cp:coreProperties>
</file>