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BIOTECH GROWTH N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20"/>
        <w:spacing w:after="0" w:line="365" w:lineRule="auto"/>
        <w:rPr>
          <w:sz w:val="20"/>
          <w:szCs w:val="20"/>
          <w:color w:val="auto"/>
        </w:rPr>
      </w:pPr>
      <w:r>
        <w:rPr>
          <w:rFonts w:ascii="Times New Roman" w:cs="Times New Roman" w:eastAsia="Times New Roman" w:hAnsi="Times New Roman"/>
          <w:sz w:val="17"/>
          <w:szCs w:val="17"/>
          <w:color w:val="0000FF"/>
        </w:rPr>
        <w:t>ARA HILL TOP BUILDING, UNIT A-5, PLETTERIJWEG OOST 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CURACAO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00000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Black Diamond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BDTX</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03/19/2025</w:t>
            </w:r>
          </w:p>
        </w:tc>
        <w:tc>
          <w:tcPr>
            <w:tcW w:w="8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36"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left="2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gridSpan w:val="2"/>
          </w:tcPr>
          <w:p>
            <w:pPr>
              <w:jc w:val="center"/>
              <w:ind w:left="286"/>
              <w:spacing w:after="0"/>
              <w:rPr>
                <w:sz w:val="20"/>
                <w:szCs w:val="20"/>
                <w:color w:val="auto"/>
              </w:rPr>
            </w:pPr>
            <w:r>
              <w:rPr>
                <w:rFonts w:ascii="Times New Roman" w:cs="Times New Roman" w:eastAsia="Times New Roman" w:hAnsi="Times New Roman"/>
                <w:sz w:val="17"/>
                <w:szCs w:val="17"/>
                <w:color w:val="0000FF"/>
              </w:rPr>
              <w:t>03/19/2025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1,000,000</w:t>
            </w:r>
          </w:p>
        </w:tc>
        <w:tc>
          <w:tcPr>
            <w:tcW w:w="38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3"/>
                <w:szCs w:val="23"/>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2.0691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7,517,839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gridSpan w:val="2"/>
          </w:tcPr>
          <w:p>
            <w:pPr>
              <w:jc w:val="center"/>
              <w:ind w:left="286"/>
              <w:spacing w:after="0"/>
              <w:rPr>
                <w:sz w:val="20"/>
                <w:szCs w:val="20"/>
                <w:color w:val="auto"/>
              </w:rPr>
            </w:pPr>
            <w:r>
              <w:rPr>
                <w:rFonts w:ascii="Times New Roman" w:cs="Times New Roman" w:eastAsia="Times New Roman" w:hAnsi="Times New Roman"/>
                <w:sz w:val="17"/>
                <w:szCs w:val="17"/>
                <w:color w:val="0000FF"/>
              </w:rPr>
              <w:t>03/19/2025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8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3"/>
                <w:szCs w:val="23"/>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7,217,839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gridSpan w:val="2"/>
          </w:tcPr>
          <w:p>
            <w:pPr>
              <w:jc w:val="center"/>
              <w:ind w:left="286"/>
              <w:spacing w:after="0"/>
              <w:rPr>
                <w:sz w:val="20"/>
                <w:szCs w:val="20"/>
                <w:color w:val="auto"/>
              </w:rPr>
            </w:pPr>
            <w:r>
              <w:rPr>
                <w:rFonts w:ascii="Times New Roman" w:cs="Times New Roman" w:eastAsia="Times New Roman" w:hAnsi="Times New Roman"/>
                <w:sz w:val="17"/>
                <w:szCs w:val="17"/>
                <w:color w:val="0000FF"/>
              </w:rPr>
              <w:t>03/19/2025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1,000,000</w:t>
            </w:r>
          </w:p>
        </w:tc>
        <w:tc>
          <w:tcPr>
            <w:tcW w:w="38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3"/>
                <w:szCs w:val="23"/>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2.3081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6,217,839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gridSpan w:val="2"/>
          </w:tcPr>
          <w:p>
            <w:pPr>
              <w:jc w:val="center"/>
              <w:ind w:left="286"/>
              <w:spacing w:after="0"/>
              <w:rPr>
                <w:sz w:val="20"/>
                <w:szCs w:val="20"/>
                <w:color w:val="auto"/>
              </w:rPr>
            </w:pPr>
            <w:r>
              <w:rPr>
                <w:rFonts w:ascii="Times New Roman" w:cs="Times New Roman" w:eastAsia="Times New Roman" w:hAnsi="Times New Roman"/>
                <w:sz w:val="17"/>
                <w:szCs w:val="17"/>
                <w:color w:val="0000FF"/>
              </w:rPr>
              <w:t>03/19/2025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2,000,000</w:t>
            </w:r>
          </w:p>
        </w:tc>
        <w:tc>
          <w:tcPr>
            <w:tcW w:w="38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3"/>
                <w:szCs w:val="23"/>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2.0004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4,217,839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gridSpan w:val="2"/>
          </w:tcPr>
          <w:p>
            <w:pPr>
              <w:jc w:val="center"/>
              <w:ind w:left="286"/>
              <w:spacing w:after="0"/>
              <w:rPr>
                <w:sz w:val="20"/>
                <w:szCs w:val="20"/>
                <w:color w:val="auto"/>
              </w:rPr>
            </w:pPr>
            <w:r>
              <w:rPr>
                <w:rFonts w:ascii="Times New Roman" w:cs="Times New Roman" w:eastAsia="Times New Roman" w:hAnsi="Times New Roman"/>
                <w:sz w:val="17"/>
                <w:szCs w:val="17"/>
                <w:color w:val="0000FF"/>
              </w:rPr>
              <w:t>03/19/2025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400,000</w:t>
            </w:r>
          </w:p>
        </w:tc>
        <w:tc>
          <w:tcPr>
            <w:tcW w:w="38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3"/>
                <w:szCs w:val="23"/>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2.0929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3,817,839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gridSpan w:val="2"/>
          </w:tcPr>
          <w:p>
            <w:pPr>
              <w:jc w:val="center"/>
              <w:ind w:left="286"/>
              <w:spacing w:after="0"/>
              <w:rPr>
                <w:sz w:val="20"/>
                <w:szCs w:val="20"/>
                <w:color w:val="auto"/>
              </w:rPr>
            </w:pPr>
            <w:r>
              <w:rPr>
                <w:rFonts w:ascii="Times New Roman" w:cs="Times New Roman" w:eastAsia="Times New Roman" w:hAnsi="Times New Roman"/>
                <w:sz w:val="17"/>
                <w:szCs w:val="17"/>
                <w:color w:val="0000FF"/>
              </w:rPr>
              <w:t>03/19/2025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584,292</w:t>
            </w:r>
          </w:p>
        </w:tc>
        <w:tc>
          <w:tcPr>
            <w:tcW w:w="38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3"/>
                <w:szCs w:val="23"/>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1.9532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3,233,547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gridSpan w:val="2"/>
          </w:tcPr>
          <w:p>
            <w:pPr>
              <w:jc w:val="center"/>
              <w:ind w:left="286"/>
              <w:spacing w:after="0"/>
              <w:rPr>
                <w:sz w:val="20"/>
                <w:szCs w:val="20"/>
                <w:color w:val="auto"/>
              </w:rPr>
            </w:pPr>
            <w:r>
              <w:rPr>
                <w:rFonts w:ascii="Times New Roman" w:cs="Times New Roman" w:eastAsia="Times New Roman" w:hAnsi="Times New Roman"/>
                <w:sz w:val="17"/>
                <w:szCs w:val="17"/>
                <w:color w:val="0000FF"/>
              </w:rPr>
              <w:t>03/19/2025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500,000</w:t>
            </w:r>
          </w:p>
        </w:tc>
        <w:tc>
          <w:tcPr>
            <w:tcW w:w="38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3"/>
                <w:szCs w:val="23"/>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2.1169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2,733,547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8"/>
          </w:tcPr>
          <w:p>
            <w:pPr>
              <w:jc w:val="center"/>
              <w:ind w:left="1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gridSpan w:val="13"/>
          </w:tcPr>
          <w:p>
            <w:pPr>
              <w:jc w:val="center"/>
              <w:ind w:left="40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7"/>
              <w:spacing w:after="0" w:line="133"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BIOTECH GROWTH N V</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ARA HILL TOP BUILDING, UNIT A-5,</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PLETTERIJWEG OOST 1</w:t>
            </w: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CURACAO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P8</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00000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240" w:hanging="153"/>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Name and Address of Reporting Person</w:t>
      </w:r>
      <w:r>
        <w:rPr>
          <w:rFonts w:ascii="Arial" w:cs="Arial" w:eastAsia="Arial" w:hAnsi="Arial"/>
          <w:sz w:val="22"/>
          <w:szCs w:val="22"/>
          <w:color w:val="auto"/>
          <w:vertAlign w:val="superscript"/>
        </w:rPr>
        <w:t>*</w:t>
      </w:r>
    </w:p>
    <w:p>
      <w:pPr>
        <w:ind w:left="460" w:hanging="333"/>
        <w:spacing w:after="0"/>
        <w:tabs>
          <w:tab w:leader="none" w:pos="460" w:val="left"/>
        </w:tabs>
        <w:numPr>
          <w:ilvl w:val="1"/>
          <w:numId w:val="1"/>
        </w:numPr>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BIOTECH AG</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t>SCHWERTSTRASSE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-114300</wp:posOffset>
            </wp:positionV>
            <wp:extent cx="2809240" cy="985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985520"/>
                    </a:xfrm>
                    <a:prstGeom prst="rect">
                      <a:avLst/>
                    </a:prstGeom>
                    <a:noFill/>
                  </pic:spPr>
                </pic:pic>
              </a:graphicData>
            </a:graphic>
          </wp:anchor>
        </w:drawing>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SCHAFFHAUSEN V8</w:t>
            </w:r>
          </w:p>
        </w:tc>
        <w:tc>
          <w:tcPr>
            <w:tcW w:w="186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CH-8200</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5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Biotech Growth N.V. is a wholly-owned subsidiary of BB Biotech AG. Accordingly, BB Biotech AG may be deemed to be the indirect beneficial owner of the securities of Black Diamond Therapeutics, Inc. held directly or indirectly by Biotech Growth N.V. This Form 4 is filed jointly by BB Biotech AG and Biotech Growth N.V.</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Ivo Betschart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03/20/2025</w:t>
            </w:r>
          </w:p>
        </w:tc>
      </w:tr>
      <w:tr>
        <w:trPr>
          <w:trHeight w:val="20"/>
        </w:trPr>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7"/>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Martin Gubler</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03/20/2025</w:t>
            </w: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upperLetter"/>
      <w:start w:val="2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259869" TargetMode="External"/><Relationship Id="rId14" Type="http://schemas.openxmlformats.org/officeDocument/2006/relationships/hyperlink" Target="http://www.sec.gov/cgi-bin/browse-edgar?action=getcompany&amp;CIK=0001701541" TargetMode="External"/><Relationship Id="rId16" Type="http://schemas.openxmlformats.org/officeDocument/2006/relationships/hyperlink" Target="http://www.sec.gov/cgi-bin/browse-edgar?action=getcompany&amp;CIK=00009242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2025-03-20T20:12:03Z</dcterms:created>
  <dcterms:modified xsi:type="dcterms:W3CDTF">2025-03-20T20:12:03Z</dcterms:modified>
</cp:coreProperties>
</file>