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BLACK DIAMOND</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THERAPEUTICS, INC.</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jc w:val="center"/>
              <w:ind w:left="52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001-39200</w:t>
            </w:r>
          </w:p>
        </w:tc>
        <w:tc>
          <w:tcPr>
            <w:tcW w:w="3020" w:type="dxa"/>
            <w:vAlign w:val="bottom"/>
          </w:tcPr>
          <w:p>
            <w:pPr>
              <w:jc w:val="center"/>
              <w:ind w:right="662"/>
              <w:spacing w:after="0"/>
              <w:rPr>
                <w:sz w:val="20"/>
                <w:szCs w:val="20"/>
                <w:color w:val="auto"/>
              </w:rPr>
            </w:pPr>
            <w:r>
              <w:rPr>
                <w:rFonts w:ascii="Times New Roman" w:cs="Times New Roman" w:eastAsia="Times New Roman" w:hAnsi="Times New Roman"/>
                <w:sz w:val="18"/>
                <w:szCs w:val="18"/>
                <w:b w:val="1"/>
                <w:bCs w:val="1"/>
                <w:color w:val="auto"/>
              </w:rPr>
              <w:t>81-4254660</w:t>
            </w:r>
          </w:p>
        </w:tc>
      </w:tr>
      <w:tr>
        <w:trPr>
          <w:trHeight w:val="178"/>
        </w:trPr>
        <w:tc>
          <w:tcPr>
            <w:tcW w:w="3140" w:type="dxa"/>
            <w:vAlign w:val="bottom"/>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3020" w:type="dxa"/>
            <w:vAlign w:val="bottom"/>
          </w:tcPr>
          <w:p>
            <w:pPr>
              <w:jc w:val="center"/>
              <w:ind w:right="6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4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20" w:type="dxa"/>
            <w:vAlign w:val="bottom"/>
          </w:tcPr>
          <w:p>
            <w:pPr>
              <w:jc w:val="center"/>
              <w:ind w:right="6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314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245 First Street, 18th Floor</w:t>
            </w:r>
          </w:p>
        </w:tc>
        <w:tc>
          <w:tcPr>
            <w:tcW w:w="3020" w:type="dxa"/>
            <w:vAlign w:val="bottom"/>
          </w:tcPr>
          <w:p>
            <w:pPr>
              <w:spacing w:after="0"/>
              <w:rPr>
                <w:sz w:val="24"/>
                <w:szCs w:val="24"/>
                <w:color w:val="auto"/>
              </w:rPr>
            </w:pPr>
          </w:p>
        </w:tc>
      </w:tr>
      <w:tr>
        <w:trPr>
          <w:trHeight w:val="214"/>
        </w:trPr>
        <w:tc>
          <w:tcPr>
            <w:tcW w:w="3140" w:type="dxa"/>
            <w:vAlign w:val="bottom"/>
          </w:tcPr>
          <w:p>
            <w:pPr>
              <w:spacing w:after="0"/>
              <w:rPr>
                <w:sz w:val="18"/>
                <w:szCs w:val="18"/>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Cambridge, MA 02142</w:t>
            </w:r>
          </w:p>
        </w:tc>
        <w:tc>
          <w:tcPr>
            <w:tcW w:w="3020" w:type="dxa"/>
            <w:vAlign w:val="bottom"/>
          </w:tcPr>
          <w:p>
            <w:pPr>
              <w:spacing w:after="0"/>
              <w:rPr>
                <w:sz w:val="18"/>
                <w:szCs w:val="18"/>
                <w:color w:val="auto"/>
              </w:rPr>
            </w:pPr>
          </w:p>
        </w:tc>
      </w:tr>
      <w:tr>
        <w:trPr>
          <w:trHeight w:val="190"/>
        </w:trPr>
        <w:tc>
          <w:tcPr>
            <w:tcW w:w="3140" w:type="dxa"/>
            <w:vAlign w:val="bottom"/>
          </w:tcPr>
          <w:p>
            <w:pPr>
              <w:spacing w:after="0"/>
              <w:rPr>
                <w:sz w:val="16"/>
                <w:szCs w:val="16"/>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020" w:type="dxa"/>
            <w:vAlign w:val="bottom"/>
          </w:tcPr>
          <w:p>
            <w:pPr>
              <w:spacing w:after="0"/>
              <w:rPr>
                <w:sz w:val="16"/>
                <w:szCs w:val="16"/>
                <w:color w:val="auto"/>
              </w:rPr>
            </w:pPr>
          </w:p>
        </w:tc>
      </w:tr>
      <w:tr>
        <w:trPr>
          <w:trHeight w:val="377"/>
        </w:trPr>
        <w:tc>
          <w:tcPr>
            <w:tcW w:w="314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(617) 252-0848</w:t>
            </w:r>
          </w:p>
        </w:tc>
        <w:tc>
          <w:tcPr>
            <w:tcW w:w="3020" w:type="dxa"/>
            <w:vAlign w:val="bottom"/>
          </w:tcPr>
          <w:p>
            <w:pPr>
              <w:spacing w:after="0"/>
              <w:rPr>
                <w:sz w:val="24"/>
                <w:szCs w:val="24"/>
                <w:color w:val="auto"/>
              </w:rPr>
            </w:pPr>
          </w:p>
        </w:tc>
      </w:tr>
      <w:tr>
        <w:trPr>
          <w:trHeight w:val="190"/>
        </w:trPr>
        <w:tc>
          <w:tcPr>
            <w:tcW w:w="3140" w:type="dxa"/>
            <w:vAlign w:val="bottom"/>
          </w:tcPr>
          <w:p>
            <w:pPr>
              <w:spacing w:after="0"/>
              <w:rPr>
                <w:sz w:val="16"/>
                <w:szCs w:val="16"/>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020" w:type="dxa"/>
            <w:vAlign w:val="bottom"/>
          </w:tcPr>
          <w:p>
            <w:pPr>
              <w:spacing w:after="0"/>
              <w:rPr>
                <w:sz w:val="16"/>
                <w:szCs w:val="16"/>
                <w:color w:val="auto"/>
              </w:rPr>
            </w:pPr>
          </w:p>
        </w:tc>
      </w:tr>
      <w:tr>
        <w:trPr>
          <w:trHeight w:val="377"/>
        </w:trPr>
        <w:tc>
          <w:tcPr>
            <w:tcW w:w="314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020" w:type="dxa"/>
            <w:vAlign w:val="bottom"/>
          </w:tcPr>
          <w:p>
            <w:pPr>
              <w:spacing w:after="0"/>
              <w:rPr>
                <w:sz w:val="24"/>
                <w:szCs w:val="24"/>
                <w:color w:val="auto"/>
              </w:rPr>
            </w:pPr>
          </w:p>
        </w:tc>
      </w:tr>
      <w:tr>
        <w:trPr>
          <w:trHeight w:val="190"/>
        </w:trPr>
        <w:tc>
          <w:tcPr>
            <w:tcW w:w="3140" w:type="dxa"/>
            <w:vAlign w:val="bottom"/>
          </w:tcPr>
          <w:p>
            <w:pPr>
              <w:spacing w:after="0"/>
              <w:rPr>
                <w:sz w:val="16"/>
                <w:szCs w:val="16"/>
                <w:color w:val="auto"/>
              </w:rPr>
            </w:pPr>
          </w:p>
        </w:tc>
        <w:tc>
          <w:tcPr>
            <w:tcW w:w="50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020" w:type="dxa"/>
            <w:vAlign w:val="bottom"/>
          </w:tcPr>
          <w:p>
            <w:pPr>
              <w:spacing w:after="0"/>
              <w:rPr>
                <w:sz w:val="16"/>
                <w:szCs w:val="16"/>
                <w:color w:val="auto"/>
              </w:rPr>
            </w:pPr>
          </w:p>
        </w:tc>
      </w:tr>
      <w:tr>
        <w:trPr>
          <w:trHeight w:val="91"/>
        </w:trPr>
        <w:tc>
          <w:tcPr>
            <w:tcW w:w="3140" w:type="dxa"/>
            <w:vAlign w:val="bottom"/>
            <w:tcBorders>
              <w:bottom w:val="single" w:sz="8" w:color="auto"/>
            </w:tcBorders>
          </w:tcPr>
          <w:p>
            <w:pPr>
              <w:spacing w:after="0"/>
              <w:rPr>
                <w:sz w:val="7"/>
                <w:szCs w:val="7"/>
                <w:color w:val="auto"/>
              </w:rPr>
            </w:pPr>
          </w:p>
        </w:tc>
        <w:tc>
          <w:tcPr>
            <w:tcW w:w="508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r>
    </w:tbl>
    <w:p>
      <w:pPr>
        <w:spacing w:after="0" w:line="252"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6" w:lineRule="exact"/>
        <w:rPr>
          <w:sz w:val="24"/>
          <w:szCs w:val="24"/>
          <w:color w:val="auto"/>
        </w:rPr>
      </w:pPr>
    </w:p>
    <w:tbl>
      <w:tblPr>
        <w:tblLayout w:type="fixed"/>
        <w:tblInd w:w="90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3360" w:type="dxa"/>
            <w:vAlign w:val="bottom"/>
            <w:gridSpan w:val="2"/>
            <w:vMerge w:val="restart"/>
          </w:tcPr>
          <w:p>
            <w:pPr>
              <w:jc w:val="center"/>
              <w:ind w:right="22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60" w:type="dxa"/>
            <w:vAlign w:val="bottom"/>
          </w:tcPr>
          <w:p>
            <w:pPr>
              <w:spacing w:after="0"/>
              <w:rPr>
                <w:sz w:val="16"/>
                <w:szCs w:val="16"/>
                <w:color w:val="auto"/>
              </w:rPr>
            </w:pPr>
          </w:p>
        </w:tc>
        <w:tc>
          <w:tcPr>
            <w:tcW w:w="1860" w:type="dxa"/>
            <w:vAlign w:val="bottom"/>
            <w:gridSpan w:val="3"/>
          </w:tcPr>
          <w:p>
            <w:pPr>
              <w:jc w:val="center"/>
              <w:ind w:right="1500"/>
              <w:spacing w:after="0"/>
              <w:rPr>
                <w:sz w:val="20"/>
                <w:szCs w:val="20"/>
                <w:color w:val="auto"/>
              </w:rPr>
            </w:pPr>
            <w:r>
              <w:rPr>
                <w:rFonts w:ascii="Times New Roman" w:cs="Times New Roman" w:eastAsia="Times New Roman" w:hAnsi="Times New Roman"/>
                <w:sz w:val="16"/>
                <w:szCs w:val="16"/>
                <w:color w:val="auto"/>
                <w:w w:val="96"/>
              </w:rPr>
              <w:t>Trade</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3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71"/>
              </w:rPr>
              <w:t>Symbol(s)</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020" w:type="dxa"/>
            <w:vAlign w:val="bottom"/>
            <w:gridSpan w:val="4"/>
          </w:tcPr>
          <w:p>
            <w:pPr>
              <w:jc w:val="center"/>
              <w:ind w:right="1340"/>
              <w:spacing w:after="0"/>
              <w:rPr>
                <w:sz w:val="20"/>
                <w:szCs w:val="20"/>
                <w:color w:val="auto"/>
              </w:rPr>
            </w:pPr>
            <w:r>
              <w:rPr>
                <w:rFonts w:ascii="Times New Roman" w:cs="Times New Roman" w:eastAsia="Times New Roman" w:hAnsi="Times New Roman"/>
                <w:sz w:val="18"/>
                <w:szCs w:val="18"/>
                <w:color w:val="auto"/>
                <w:w w:val="97"/>
              </w:rPr>
              <w:t>BDTX</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252"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May 7, 2026, Black Diamond Therapeutics, Inc. announced its financial results for the three months ended March 31, 2026. The full text of the press release issued in connection with the announcement is furnished as Exhibit 99.1 to this Current Report on Form 8-K.</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40"/>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6"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Black Diamond Therapeutics, Inc., dated May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Black Diamond Therapeutics, Inc.</w:t>
      </w:r>
    </w:p>
    <w:p>
      <w:pPr>
        <w:spacing w:after="0" w:line="266" w:lineRule="exact"/>
        <w:rPr>
          <w:sz w:val="20"/>
          <w:szCs w:val="20"/>
          <w:color w:val="auto"/>
        </w:rPr>
      </w:pPr>
    </w:p>
    <w:p>
      <w:pPr>
        <w:ind w:left="20"/>
        <w:spacing w:after="0"/>
        <w:tabs>
          <w:tab w:leader="none" w:pos="5380" w:val="left"/>
          <w:tab w:leader="none" w:pos="58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tab/>
        <w:t>/s/ Brent Hatzis-Schoch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Brent Hatzis-Schoch</w:t>
      </w:r>
    </w:p>
    <w:p>
      <w:pPr>
        <w:spacing w:after="0" w:line="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Operating Officer and General Counsel</w:t>
      </w:r>
    </w:p>
    <w:p>
      <w:pPr>
        <w:sectPr>
          <w:pgSz w:w="11900" w:h="16838" w:orient="portrait"/>
          <w:cols w:equalWidth="0" w:num="1">
            <w:col w:w="11200"/>
          </w:cols>
          <w:pgMar w:left="320" w:top="1251"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671830</wp:posOffset>
            </wp:positionV>
            <wp:extent cx="2562860" cy="763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56286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340" w:right="360"/>
        <w:spacing w:after="0" w:line="298" w:lineRule="auto"/>
        <w:rPr>
          <w:sz w:val="20"/>
          <w:szCs w:val="20"/>
          <w:color w:val="auto"/>
        </w:rPr>
      </w:pPr>
      <w:r>
        <w:rPr>
          <w:rFonts w:ascii="Arial" w:cs="Arial" w:eastAsia="Arial" w:hAnsi="Arial"/>
          <w:sz w:val="25"/>
          <w:szCs w:val="25"/>
          <w:b w:val="1"/>
          <w:bCs w:val="1"/>
          <w:color w:val="auto"/>
        </w:rPr>
        <w:t>Black Diamond Therapeutics Reports First Quarter 2026 Financial Results and Provides Corporate Update</w:t>
      </w:r>
    </w:p>
    <w:p>
      <w:pPr>
        <w:spacing w:after="0" w:line="99" w:lineRule="exact"/>
        <w:rPr>
          <w:sz w:val="20"/>
          <w:szCs w:val="20"/>
          <w:color w:val="auto"/>
        </w:rPr>
      </w:pPr>
    </w:p>
    <w:p>
      <w:pPr>
        <w:ind w:left="980" w:hanging="324"/>
        <w:spacing w:after="0" w:line="286" w:lineRule="auto"/>
        <w:tabs>
          <w:tab w:leader="none" w:pos="94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Oral presentation of silevertinib Phase 2 data in frontline EGFRm NSCLC patients, including preliminary DOR and PFS data, to take place at the 2026 ASCO Annual Meeting</w:t>
      </w:r>
    </w:p>
    <w:p>
      <w:pPr>
        <w:spacing w:after="0" w:line="45" w:lineRule="exact"/>
        <w:rPr>
          <w:rFonts w:ascii="Arial" w:cs="Arial" w:eastAsia="Arial" w:hAnsi="Arial"/>
          <w:sz w:val="20"/>
          <w:szCs w:val="20"/>
          <w:i w:val="1"/>
          <w:iCs w:val="1"/>
          <w:color w:val="auto"/>
        </w:rPr>
      </w:pPr>
    </w:p>
    <w:p>
      <w:pPr>
        <w:ind w:left="940" w:hanging="284"/>
        <w:spacing w:after="0"/>
        <w:tabs>
          <w:tab w:leader="none" w:pos="94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First patient dosed in the Phase 2 trial of silevertinib in patients with newly diagnosed EGFRvIII+ GBM</w:t>
      </w:r>
    </w:p>
    <w:p>
      <w:pPr>
        <w:spacing w:after="0" w:line="107" w:lineRule="exact"/>
        <w:rPr>
          <w:rFonts w:ascii="Arial" w:cs="Arial" w:eastAsia="Arial" w:hAnsi="Arial"/>
          <w:sz w:val="20"/>
          <w:szCs w:val="20"/>
          <w:i w:val="1"/>
          <w:iCs w:val="1"/>
          <w:color w:val="auto"/>
        </w:rPr>
      </w:pPr>
    </w:p>
    <w:p>
      <w:pPr>
        <w:ind w:left="980" w:right="20" w:hanging="324"/>
        <w:spacing w:after="0" w:line="286" w:lineRule="auto"/>
        <w:tabs>
          <w:tab w:leader="none" w:pos="941"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C</w:t>
      </w:r>
      <w:r>
        <w:rPr>
          <w:rFonts w:ascii="Arial" w:cs="Arial" w:eastAsia="Arial" w:hAnsi="Arial"/>
          <w:sz w:val="20"/>
          <w:szCs w:val="20"/>
          <w:i w:val="1"/>
          <w:iCs w:val="1"/>
          <w:color w:val="auto"/>
        </w:rPr>
        <w:t>ash, cash equivalents, and investments of $118.3 million as of March 31, 2026, expected to be sufficient to fund</w:t>
      </w:r>
      <w:r>
        <w:rPr>
          <w:rFonts w:ascii="Arial" w:cs="Arial" w:eastAsia="Arial" w:hAnsi="Arial"/>
          <w:sz w:val="20"/>
          <w:szCs w:val="20"/>
          <w:color w:val="auto"/>
        </w:rPr>
        <w:t xml:space="preserve"> </w:t>
      </w:r>
      <w:r>
        <w:rPr>
          <w:rFonts w:ascii="Arial" w:cs="Arial" w:eastAsia="Arial" w:hAnsi="Arial"/>
          <w:sz w:val="20"/>
          <w:szCs w:val="20"/>
          <w:i w:val="1"/>
          <w:iCs w:val="1"/>
          <w:color w:val="auto"/>
        </w:rPr>
        <w:t>operations into 2H of 2028</w:t>
      </w:r>
    </w:p>
    <w:p>
      <w:pPr>
        <w:spacing w:after="0" w:line="3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 xml:space="preserve">CAMBRIDGE, MA, </w:t>
      </w:r>
      <w:r>
        <w:rPr>
          <w:rFonts w:ascii="Arial" w:cs="Arial" w:eastAsia="Arial" w:hAnsi="Arial"/>
          <w:sz w:val="20"/>
          <w:szCs w:val="20"/>
          <w:i w:val="1"/>
          <w:iCs w:val="1"/>
          <w:color w:val="auto"/>
        </w:rPr>
        <w:t>May 7, 2026</w:t>
      </w:r>
      <w:r>
        <w:rPr>
          <w:rFonts w:ascii="Arial" w:cs="Arial" w:eastAsia="Arial" w:hAnsi="Arial"/>
          <w:sz w:val="20"/>
          <w:szCs w:val="20"/>
          <w:b w:val="1"/>
          <w:bCs w:val="1"/>
          <w:color w:val="auto"/>
        </w:rPr>
        <w:t xml:space="preserve"> </w:t>
      </w:r>
      <w:r>
        <w:rPr>
          <w:rFonts w:ascii="Arial" w:cs="Arial" w:eastAsia="Arial" w:hAnsi="Arial"/>
          <w:sz w:val="20"/>
          <w:szCs w:val="20"/>
          <w:color w:val="auto"/>
        </w:rPr>
        <w:t>(GLOBE NEWSWIRE) – Black Diamond Therapeutics, Inc. (Nasdaq: BDTX),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oncology company developing MasterKey therapies that target families of oncogenic mutations in patients with cancer, today reported financial results for the first quarter ended March 31, 2026, and provided a corporate update.</w:t>
      </w:r>
    </w:p>
    <w:p>
      <w:pPr>
        <w:spacing w:after="0" w:line="4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remain focused on advancing silevertinib into pivotal development and are looking forward to the 2026 ASCO Annual Meeting later this month where an oral presentation of Phase 2 data will highlight silevertinib’s potential to benefit frontline EGFRm NSCLC patients,” said Mark Velleca, M.D., Ph.D., President and Chief Executive Officer of Black Diamond Therapeutics. “Our randomized Phase 2 trial in newly diagnosed EGFRvIII+ GBM also initiated this month with the dosing of our first patient.”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Developments &amp; Upcoming Milestones:</w:t>
      </w:r>
    </w:p>
    <w:p>
      <w:pPr>
        <w:spacing w:after="0" w:line="33" w:lineRule="exact"/>
        <w:rPr>
          <w:sz w:val="20"/>
          <w:szCs w:val="20"/>
          <w:color w:val="auto"/>
        </w:rPr>
      </w:pPr>
    </w:p>
    <w:p>
      <w:pPr>
        <w:ind w:left="660" w:right="20" w:hanging="328"/>
        <w:spacing w:after="0" w:line="24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April 2026, Black Diamond announced the following presentations at the upcoming 2026 American Society of Clinical Oncology (ASCO) Annual Meeting from May 29 – June 2, 2026, in Chicago:</w:t>
      </w:r>
    </w:p>
    <w:p>
      <w:pPr>
        <w:spacing w:after="0" w:line="1" w:lineRule="exact"/>
        <w:rPr>
          <w:rFonts w:ascii="Arial" w:cs="Arial" w:eastAsia="Arial" w:hAnsi="Arial"/>
          <w:sz w:val="20"/>
          <w:szCs w:val="20"/>
          <w:color w:val="auto"/>
        </w:rPr>
      </w:pPr>
    </w:p>
    <w:p>
      <w:pPr>
        <w:jc w:val="both"/>
        <w:ind w:left="1300" w:hanging="320"/>
        <w:spacing w:after="0" w:line="248" w:lineRule="auto"/>
        <w:tabs>
          <w:tab w:leader="none" w:pos="1330" w:val="left"/>
        </w:tabs>
        <w:numPr>
          <w:ilvl w:val="1"/>
          <w:numId w:val="3"/>
        </w:numPr>
        <w:rPr>
          <w:rFonts w:ascii="Arial" w:cs="Arial" w:eastAsia="Arial" w:hAnsi="Arial"/>
          <w:sz w:val="20"/>
          <w:szCs w:val="20"/>
          <w:color w:val="auto"/>
        </w:rPr>
      </w:pPr>
      <w:r>
        <w:rPr>
          <w:rFonts w:ascii="Arial" w:cs="Arial" w:eastAsia="Arial" w:hAnsi="Arial"/>
          <w:sz w:val="20"/>
          <w:szCs w:val="20"/>
          <w:color w:val="auto"/>
        </w:rPr>
        <w:t>May 30, 2026, 1:15 PM-2:45 PM CDT: Oral presentation on updated clinical data from the Phase 2 trial in patients with non-classical EGFRm NSCLC in the frontline setting, including preliminary duration of response (DOR) and progression-free survival (PFS) data (Abstract: 8519).</w:t>
      </w:r>
    </w:p>
    <w:p>
      <w:pPr>
        <w:spacing w:after="0" w:line="2" w:lineRule="exact"/>
        <w:rPr>
          <w:rFonts w:ascii="Arial" w:cs="Arial" w:eastAsia="Arial" w:hAnsi="Arial"/>
          <w:sz w:val="20"/>
          <w:szCs w:val="20"/>
          <w:color w:val="auto"/>
        </w:rPr>
      </w:pPr>
    </w:p>
    <w:p>
      <w:pPr>
        <w:ind w:left="1340" w:hanging="360"/>
        <w:spacing w:after="0"/>
        <w:tabs>
          <w:tab w:leader="none" w:pos="1340" w:val="left"/>
        </w:tabs>
        <w:numPr>
          <w:ilvl w:val="1"/>
          <w:numId w:val="3"/>
        </w:numPr>
        <w:rPr>
          <w:rFonts w:ascii="Arial" w:cs="Arial" w:eastAsia="Arial" w:hAnsi="Arial"/>
          <w:sz w:val="20"/>
          <w:szCs w:val="20"/>
          <w:color w:val="auto"/>
        </w:rPr>
      </w:pPr>
      <w:r>
        <w:rPr>
          <w:rFonts w:ascii="Arial" w:cs="Arial" w:eastAsia="Arial" w:hAnsi="Arial"/>
          <w:sz w:val="20"/>
          <w:szCs w:val="20"/>
          <w:color w:val="auto"/>
        </w:rPr>
        <w:t>May 31, 2026, 9:00 AM-12:00 PM CDT: Poster presentation on the Phase 2 data of silevertinib in recurrent</w:t>
      </w:r>
    </w:p>
    <w:p>
      <w:pPr>
        <w:ind w:left="1300"/>
        <w:spacing w:after="0"/>
        <w:rPr>
          <w:rFonts w:ascii="Arial" w:cs="Arial" w:eastAsia="Arial" w:hAnsi="Arial"/>
          <w:sz w:val="20"/>
          <w:szCs w:val="20"/>
          <w:color w:val="auto"/>
        </w:rPr>
      </w:pPr>
      <w:r>
        <w:rPr>
          <w:rFonts w:ascii="Arial" w:cs="Arial" w:eastAsia="Arial" w:hAnsi="Arial"/>
          <w:sz w:val="20"/>
          <w:szCs w:val="20"/>
          <w:color w:val="auto"/>
        </w:rPr>
        <w:t>EGFRm NSCLC patients (Abstract: 8620).</w:t>
      </w:r>
    </w:p>
    <w:p>
      <w:pPr>
        <w:spacing w:after="0" w:line="13" w:lineRule="exact"/>
        <w:rPr>
          <w:rFonts w:ascii="Arial" w:cs="Arial" w:eastAsia="Arial" w:hAnsi="Arial"/>
          <w:sz w:val="20"/>
          <w:szCs w:val="20"/>
          <w:color w:val="auto"/>
        </w:rPr>
      </w:pPr>
    </w:p>
    <w:p>
      <w:pPr>
        <w:ind w:left="1320" w:hanging="340"/>
        <w:spacing w:after="0"/>
        <w:tabs>
          <w:tab w:leader="none" w:pos="1320" w:val="left"/>
        </w:tabs>
        <w:numPr>
          <w:ilvl w:val="1"/>
          <w:numId w:val="3"/>
        </w:numPr>
        <w:rPr>
          <w:rFonts w:ascii="Arial" w:cs="Arial" w:eastAsia="Arial" w:hAnsi="Arial"/>
          <w:sz w:val="20"/>
          <w:szCs w:val="20"/>
          <w:color w:val="auto"/>
        </w:rPr>
      </w:pPr>
      <w:r>
        <w:rPr>
          <w:rFonts w:ascii="Arial" w:cs="Arial" w:eastAsia="Arial" w:hAnsi="Arial"/>
          <w:sz w:val="20"/>
          <w:szCs w:val="20"/>
          <w:color w:val="auto"/>
        </w:rPr>
        <w:t>June 1, 2026, 1:30 PM-4:30 PM CDT: Trial-in-progress poster on the randomized Phase 2 trial of silevertinib in</w:t>
      </w:r>
    </w:p>
    <w:p>
      <w:pPr>
        <w:spacing w:after="0" w:line="1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patients with newly diagnosed EGFRvIII-positive GBM (Abstract: TPS2098).</w:t>
      </w:r>
    </w:p>
    <w:p>
      <w:pPr>
        <w:ind w:left="660" w:hanging="328"/>
        <w:spacing w:after="0" w:line="267"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May 2026, the first patient was dosed with silevertinib in combination with temozolomide (TMZ) in the safety lead-in portion of the randomized Phase 2 trial in patients with newly diagnosed EGFRvIII+ GBM (NCT07326566).</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33" w:lineRule="exact"/>
        <w:rPr>
          <w:sz w:val="20"/>
          <w:szCs w:val="20"/>
          <w:color w:val="auto"/>
        </w:rPr>
      </w:pPr>
    </w:p>
    <w:p>
      <w:pPr>
        <w:jc w:val="both"/>
        <w:ind w:left="660" w:hanging="328"/>
        <w:spacing w:after="0" w:line="253" w:lineRule="auto"/>
        <w:tabs>
          <w:tab w:leader="none" w:pos="621" w:val="left"/>
        </w:tabs>
        <w:numPr>
          <w:ilvl w:val="0"/>
          <w:numId w:val="4"/>
        </w:numPr>
        <w:rPr>
          <w:rFonts w:ascii="Arial" w:cs="Arial" w:eastAsia="Arial" w:hAnsi="Arial"/>
          <w:sz w:val="20"/>
          <w:szCs w:val="20"/>
          <w:i w:val="1"/>
          <w:iCs w:val="1"/>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Black Diamond ended the first quarter of 2026 with approximately $118.3 million in cash, cash</w:t>
      </w:r>
      <w:r>
        <w:rPr>
          <w:rFonts w:ascii="Arial" w:cs="Arial" w:eastAsia="Arial" w:hAnsi="Arial"/>
          <w:sz w:val="20"/>
          <w:szCs w:val="20"/>
          <w:b w:val="1"/>
          <w:bCs w:val="1"/>
          <w:color w:val="auto"/>
        </w:rPr>
        <w:t xml:space="preserve"> </w:t>
      </w:r>
      <w:r>
        <w:rPr>
          <w:rFonts w:ascii="Arial" w:cs="Arial" w:eastAsia="Arial" w:hAnsi="Arial"/>
          <w:sz w:val="20"/>
          <w:szCs w:val="20"/>
          <w:color w:val="auto"/>
        </w:rPr>
        <w:t>equivalents, and investments compared to $128.7 million as of December 31, 2025. Net cash used in operations was $10.2 million for the first quarter of 2026 compared to net cash provided by operations of $53.4 million for the first quarter of 2025.</w:t>
      </w:r>
    </w:p>
    <w:p>
      <w:pPr>
        <w:sectPr>
          <w:pgSz w:w="11900" w:h="16838" w:orient="portrait"/>
          <w:cols w:equalWidth="0" w:num="1">
            <w:col w:w="11240"/>
          </w:cols>
          <w:pgMar w:left="320" w:top="1440" w:right="339" w:bottom="1440" w:gutter="0" w:footer="0" w:header="0"/>
        </w:sectPr>
      </w:pPr>
    </w:p>
    <w:bookmarkStart w:id="3" w:name="page4"/>
    <w:bookmarkEnd w:id="3"/>
    <w:p>
      <w:pPr>
        <w:jc w:val="both"/>
        <w:ind w:left="660" w:hanging="328"/>
        <w:spacing w:after="0" w:line="251"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Research and Development Expenses: </w:t>
      </w:r>
      <w:r>
        <w:rPr>
          <w:rFonts w:ascii="Arial" w:cs="Arial" w:eastAsia="Arial" w:hAnsi="Arial"/>
          <w:sz w:val="20"/>
          <w:szCs w:val="20"/>
          <w:color w:val="auto"/>
        </w:rPr>
        <w:t>Research and development (R&amp;D) expenses were $7.0 million for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2026, compared to $10.5 million for the same period in 2025. The decrease in R&amp;D expenses was primarily due to the progression of our Phase 2 clinical trial for silevertinib in NSCLC and outlicensing of BDTX-4933 to increase focus on the development of silevertinib.</w:t>
      </w:r>
    </w:p>
    <w:p>
      <w:pPr>
        <w:spacing w:after="0" w:line="2" w:lineRule="exact"/>
        <w:rPr>
          <w:rFonts w:ascii="Arial" w:cs="Arial" w:eastAsia="Arial" w:hAnsi="Arial"/>
          <w:sz w:val="20"/>
          <w:szCs w:val="20"/>
          <w:color w:val="auto"/>
        </w:rPr>
      </w:pPr>
    </w:p>
    <w:p>
      <w:pPr>
        <w:jc w:val="both"/>
        <w:ind w:left="660" w:hanging="328"/>
        <w:spacing w:after="0" w:line="248" w:lineRule="auto"/>
        <w:tabs>
          <w:tab w:leader="none" w:pos="648" w:val="left"/>
        </w:tabs>
        <w:numPr>
          <w:ilvl w:val="0"/>
          <w:numId w:val="5"/>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(G&amp;A) expenses were $4.3 million for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2026, compared to $5.0 million for the same period in 2025. The decrease in G&amp;A expenses was primarily due to the realization of continued operational efficiencies.</w:t>
      </w:r>
    </w:p>
    <w:p>
      <w:pPr>
        <w:spacing w:after="0" w:line="1" w:lineRule="exact"/>
        <w:rPr>
          <w:rFonts w:ascii="Times New Roman" w:cs="Times New Roman" w:eastAsia="Times New Roman" w:hAnsi="Times New Roman"/>
          <w:sz w:val="20"/>
          <w:szCs w:val="20"/>
          <w:b w:val="1"/>
          <w:bCs w:val="1"/>
          <w:color w:val="auto"/>
        </w:rPr>
      </w:pPr>
    </w:p>
    <w:p>
      <w:pPr>
        <w:ind w:left="660" w:right="20" w:hanging="328"/>
        <w:spacing w:after="0" w:line="267"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for the first quarter of 2026 was $9.0 million, as compared to net income of $56.5 million for the same</w:t>
      </w:r>
      <w:r>
        <w:rPr>
          <w:rFonts w:ascii="Arial" w:cs="Arial" w:eastAsia="Arial" w:hAnsi="Arial"/>
          <w:sz w:val="20"/>
          <w:szCs w:val="20"/>
          <w:b w:val="1"/>
          <w:bCs w:val="1"/>
          <w:color w:val="auto"/>
        </w:rPr>
        <w:t xml:space="preserve"> </w:t>
      </w:r>
      <w:r>
        <w:rPr>
          <w:rFonts w:ascii="Arial" w:cs="Arial" w:eastAsia="Arial" w:hAnsi="Arial"/>
          <w:sz w:val="20"/>
          <w:szCs w:val="20"/>
          <w:color w:val="auto"/>
        </w:rPr>
        <w:t>period in 2025.</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w:t>
      </w:r>
    </w:p>
    <w:p>
      <w:pPr>
        <w:spacing w:after="0" w:line="33" w:lineRule="exact"/>
        <w:rPr>
          <w:sz w:val="20"/>
          <w:szCs w:val="20"/>
          <w:color w:val="auto"/>
        </w:rPr>
      </w:pPr>
    </w:p>
    <w:p>
      <w:pPr>
        <w:jc w:val="both"/>
        <w:ind w:left="660" w:hanging="328"/>
        <w:spacing w:after="0" w:line="253" w:lineRule="auto"/>
        <w:tabs>
          <w:tab w:leader="none" w:pos="621" w:val="left"/>
        </w:tabs>
        <w:numPr>
          <w:ilvl w:val="0"/>
          <w:numId w:val="6"/>
        </w:numPr>
        <w:rPr>
          <w:rFonts w:ascii="Arial" w:cs="Arial" w:eastAsia="Arial" w:hAnsi="Arial"/>
          <w:sz w:val="20"/>
          <w:szCs w:val="20"/>
          <w:i w:val="1"/>
          <w:iCs w:val="1"/>
          <w:color w:val="auto"/>
        </w:rPr>
      </w:pPr>
      <w:r>
        <w:rPr>
          <w:rFonts w:ascii="Arial" w:cs="Arial" w:eastAsia="Arial" w:hAnsi="Arial"/>
          <w:sz w:val="20"/>
          <w:szCs w:val="20"/>
          <w:color w:val="auto"/>
        </w:rPr>
        <w:t>Black Diamond ended the first quarter of 2026 with approximately $118.3 million in cash, cash equivalents and investments which the Company believes is sufficient to fund its anticipated operating expenses and capital expenditure requirements into the second half of 2028.</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Black Diamond Therapeutics</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Black Diamond Therapeutics is a clinical-stage oncology company developing MasterKey therapies that target families of oncogenic mutations in patients with cancer. The Company’s MasterKey therapies are designed to address a broad spectrum of genetically defined tumors, overcome resistance, minimize wild-type mediated toxicities, and be brain penetrant to treat central nervous system disease. The Company is advancing silevertinib, a brain-penetrant fourth-generation EGFR MasterKey inhibitor targeting EGFR-mutant NSCLC and GBM. For more information, please visit </w:t>
      </w:r>
      <w:r>
        <w:rPr>
          <w:rFonts w:ascii="Arial" w:cs="Arial" w:eastAsia="Arial" w:hAnsi="Arial"/>
          <w:sz w:val="20"/>
          <w:szCs w:val="20"/>
          <w:color w:val="0563C1"/>
        </w:rPr>
        <w:t>www.blackdiamondtherapeutics.com</w:t>
      </w:r>
      <w:r>
        <w:rPr>
          <w:rFonts w:ascii="Arial" w:cs="Arial" w:eastAsia="Arial" w:hAnsi="Arial"/>
          <w:sz w:val="20"/>
          <w:szCs w:val="20"/>
          <w:color w:val="auto"/>
        </w:rPr>
        <w:t>.</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From time to time, we may use our website or our LinkedIn profile at www.linkedin.com/company/black-diamond-therapeutics to distribute material information. Our financial and other material information is routinely posted to and accessible on the Investors section of our website, available at www.blackdiamondtherapeutics.com. Investors are encouraged to review the Investors section of our website because we may post material information on that site that is not otherwise disseminated by us. Information that is contained in and can be accessed through our website or our LinkedIn page is not incorporated into, and does not form a part of, this press release.</w:t>
      </w:r>
    </w:p>
    <w:p>
      <w:pPr>
        <w:sectPr>
          <w:pgSz w:w="11900" w:h="16838" w:orient="portrait"/>
          <w:cols w:equalWidth="0" w:num="1">
            <w:col w:w="11240"/>
          </w:cols>
          <w:pgMar w:left="320" w:top="103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Forward-Looking Statements</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continued development and advancement of silevertinib, including the ongoing Phase 2 clinical trials and the timing of clinical updates for silevertinib in patients with EGFRm NSCLC and in patients with newly diagnosed EGFRvIII+ GBM, the potential of silevertinib to address the unmet medical need for newly diagnosed GBM patients and for newly diagnosed NSCLC patients with non-classical EGFR mutations and benefit patients with NSCLC across multiple lines of therapy, the potential future development plans for silevertinib in NSCLC and GBM, and the Company’s expected cash runway. Any forward-looking statements in this press release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those risks and uncertainties set forth in its Annual Report on Form 10-K for the year ended December 31, 2025, filed with the United States Securities and Exchange Commission and in its subsequent filings filed with the United States Securities and Exchange Commission.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ectPr>
          <w:pgSz w:w="11900" w:h="16838" w:orient="portrait"/>
          <w:cols w:equalWidth="0" w:num="1">
            <w:col w:w="11240"/>
          </w:cols>
          <w:pgMar w:left="320" w:top="1250" w:right="339" w:bottom="1440" w:gutter="0" w:footer="0" w:header="0"/>
        </w:sectPr>
      </w:pPr>
    </w:p>
    <w:bookmarkStart w:id="5" w:name="page6"/>
    <w:bookmarkEnd w:id="5"/>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0" w:type="dxa"/>
            <w:vAlign w:val="bottom"/>
          </w:tcPr>
          <w:p>
            <w:pPr>
              <w:spacing w:after="0"/>
              <w:rPr>
                <w:sz w:val="23"/>
                <w:szCs w:val="23"/>
                <w:color w:val="auto"/>
              </w:rPr>
            </w:pPr>
          </w:p>
        </w:tc>
        <w:tc>
          <w:tcPr>
            <w:tcW w:w="7560" w:type="dxa"/>
            <w:vAlign w:val="bottom"/>
          </w:tcPr>
          <w:p>
            <w:pPr>
              <w:jc w:val="center"/>
              <w:ind w:left="3461"/>
              <w:spacing w:after="0"/>
              <w:rPr>
                <w:sz w:val="20"/>
                <w:szCs w:val="20"/>
                <w:color w:val="auto"/>
              </w:rPr>
            </w:pPr>
            <w:r>
              <w:rPr>
                <w:rFonts w:ascii="Arial" w:cs="Arial" w:eastAsia="Arial" w:hAnsi="Arial"/>
                <w:sz w:val="20"/>
                <w:szCs w:val="20"/>
                <w:b w:val="1"/>
                <w:bCs w:val="1"/>
                <w:color w:val="auto"/>
                <w:w w:val="98"/>
              </w:rPr>
              <w:t>Black Diamond Therapeutics, Inc.</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9420" w:type="dxa"/>
            <w:vAlign w:val="bottom"/>
            <w:gridSpan w:val="4"/>
          </w:tcPr>
          <w:p>
            <w:pPr>
              <w:jc w:val="center"/>
              <w:ind w:left="1601"/>
              <w:spacing w:after="0"/>
              <w:rPr>
                <w:sz w:val="20"/>
                <w:szCs w:val="20"/>
                <w:color w:val="auto"/>
              </w:rPr>
            </w:pPr>
            <w:r>
              <w:rPr>
                <w:rFonts w:ascii="Arial" w:cs="Arial" w:eastAsia="Arial" w:hAnsi="Arial"/>
                <w:sz w:val="20"/>
                <w:szCs w:val="20"/>
                <w:b w:val="1"/>
                <w:bCs w:val="1"/>
                <w:color w:val="auto"/>
                <w:w w:val="99"/>
              </w:rPr>
              <w:t>Condensed Consolidated Balance Sheet Data (Unaudited)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 w:type="dxa"/>
            <w:vAlign w:val="bottom"/>
          </w:tcPr>
          <w:p>
            <w:pPr>
              <w:spacing w:after="0"/>
              <w:rPr>
                <w:sz w:val="24"/>
                <w:szCs w:val="24"/>
                <w:color w:val="auto"/>
              </w:rPr>
            </w:pPr>
          </w:p>
        </w:tc>
        <w:tc>
          <w:tcPr>
            <w:tcW w:w="7560" w:type="dxa"/>
            <w:vAlign w:val="bottom"/>
          </w:tcPr>
          <w:p>
            <w:pPr>
              <w:jc w:val="center"/>
              <w:ind w:left="3461"/>
              <w:spacing w:after="0"/>
              <w:rPr>
                <w:sz w:val="20"/>
                <w:szCs w:val="20"/>
                <w:color w:val="auto"/>
              </w:rPr>
            </w:pPr>
            <w:r>
              <w:rPr>
                <w:rFonts w:ascii="Arial" w:cs="Arial" w:eastAsia="Arial" w:hAnsi="Arial"/>
                <w:sz w:val="20"/>
                <w:szCs w:val="20"/>
                <w:b w:val="1"/>
                <w:bCs w:val="1"/>
                <w:color w:val="auto"/>
                <w:w w:val="98"/>
              </w:rPr>
              <w:t>(in thousands)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461"/>
              <w:spacing w:after="0" w:line="209" w:lineRule="exact"/>
              <w:rPr>
                <w:sz w:val="20"/>
                <w:szCs w:val="20"/>
                <w:color w:val="auto"/>
              </w:rPr>
            </w:pPr>
            <w:r>
              <w:rPr>
                <w:rFonts w:ascii="Arial" w:cs="Arial" w:eastAsia="Arial" w:hAnsi="Arial"/>
                <w:sz w:val="20"/>
                <w:szCs w:val="20"/>
                <w:color w:val="auto"/>
              </w:rPr>
              <w:t>March 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ind w:left="60"/>
              <w:spacing w:after="0" w:line="209" w:lineRule="exact"/>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75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color w:val="auto"/>
              </w:rPr>
              <w:t>2026</w:t>
            </w: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w w:val="98"/>
              </w:rPr>
              <w:t>2025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5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4"/>
            <w:shd w:val="clear" w:color="auto" w:fill="CCEEFF"/>
          </w:tcPr>
          <w:p>
            <w:pPr>
              <w:jc w:val="right"/>
              <w:spacing w:after="0"/>
              <w:rPr>
                <w:sz w:val="20"/>
                <w:szCs w:val="20"/>
                <w:color w:val="auto"/>
              </w:rPr>
            </w:pPr>
            <w:r>
              <w:rPr>
                <w:rFonts w:ascii="Arial" w:cs="Arial" w:eastAsia="Arial" w:hAnsi="Arial"/>
                <w:sz w:val="20"/>
                <w:szCs w:val="20"/>
                <w:color w:val="auto"/>
              </w:rPr>
              <w:t>(in thousands)</w:t>
            </w:r>
          </w:p>
        </w:tc>
        <w:tc>
          <w:tcPr>
            <w:tcW w:w="11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560" w:type="dxa"/>
            <w:vAlign w:val="bottom"/>
          </w:tcPr>
          <w:p>
            <w:pPr>
              <w:ind w:left="20"/>
              <w:spacing w:after="0"/>
              <w:rPr>
                <w:sz w:val="20"/>
                <w:szCs w:val="20"/>
                <w:color w:val="auto"/>
              </w:rPr>
            </w:pPr>
            <w:r>
              <w:rPr>
                <w:rFonts w:ascii="Arial" w:cs="Arial" w:eastAsia="Arial" w:hAnsi="Arial"/>
                <w:sz w:val="20"/>
                <w:szCs w:val="20"/>
                <w:color w:val="auto"/>
              </w:rPr>
              <w:t>Cash, cash equivalents, and investments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220" w:type="dxa"/>
            <w:vAlign w:val="bottom"/>
          </w:tcPr>
          <w:p>
            <w:pPr>
              <w:spacing w:after="0"/>
              <w:rPr>
                <w:sz w:val="22"/>
                <w:szCs w:val="22"/>
                <w:color w:val="auto"/>
              </w:rPr>
            </w:pPr>
          </w:p>
        </w:tc>
        <w:tc>
          <w:tcPr>
            <w:tcW w:w="1300" w:type="dxa"/>
            <w:vAlign w:val="bottom"/>
          </w:tcPr>
          <w:p>
            <w:pPr>
              <w:jc w:val="right"/>
              <w:ind w:right="101"/>
              <w:spacing w:after="0"/>
              <w:rPr>
                <w:sz w:val="20"/>
                <w:szCs w:val="20"/>
                <w:color w:val="auto"/>
              </w:rPr>
            </w:pPr>
            <w:r>
              <w:rPr>
                <w:rFonts w:ascii="Arial" w:cs="Arial" w:eastAsia="Arial" w:hAnsi="Arial"/>
                <w:sz w:val="20"/>
                <w:szCs w:val="20"/>
                <w:color w:val="auto"/>
              </w:rPr>
              <w:t>118,258</w:t>
            </w:r>
          </w:p>
        </w:tc>
        <w:tc>
          <w:tcPr>
            <w:tcW w:w="160" w:type="dxa"/>
            <w:vAlign w:val="bottom"/>
            <w:gridSpan w:val="2"/>
          </w:tcPr>
          <w:p>
            <w:pPr>
              <w:jc w:val="right"/>
              <w:ind w:right="60"/>
              <w:spacing w:after="0"/>
              <w:rPr>
                <w:sz w:val="20"/>
                <w:szCs w:val="20"/>
                <w:color w:val="auto"/>
              </w:rPr>
            </w:pPr>
            <w:r>
              <w:rPr>
                <w:rFonts w:ascii="Arial" w:cs="Arial" w:eastAsia="Arial" w:hAnsi="Arial"/>
                <w:sz w:val="20"/>
                <w:szCs w:val="20"/>
                <w:color w:val="auto"/>
                <w:w w:val="71"/>
              </w:rPr>
              <w:t>$</w:t>
            </w:r>
          </w:p>
        </w:tc>
        <w:tc>
          <w:tcPr>
            <w:tcW w:w="4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128,652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assets</w:t>
            </w: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132,922</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w w:val="71"/>
              </w:rPr>
              <w:t>$</w:t>
            </w: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143,010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560" w:type="dxa"/>
            <w:vAlign w:val="bottom"/>
          </w:tcPr>
          <w:p>
            <w:pPr>
              <w:ind w:left="20"/>
              <w:spacing w:after="0"/>
              <w:rPr>
                <w:sz w:val="20"/>
                <w:szCs w:val="20"/>
                <w:color w:val="auto"/>
              </w:rPr>
            </w:pPr>
            <w:r>
              <w:rPr>
                <w:rFonts w:ascii="Arial" w:cs="Arial" w:eastAsia="Arial" w:hAnsi="Arial"/>
                <w:sz w:val="20"/>
                <w:szCs w:val="20"/>
                <w:color w:val="auto"/>
              </w:rPr>
              <w:t>Accumulated deficit</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220" w:type="dxa"/>
            <w:vAlign w:val="bottom"/>
          </w:tcPr>
          <w:p>
            <w:pPr>
              <w:spacing w:after="0"/>
              <w:rPr>
                <w:sz w:val="22"/>
                <w:szCs w:val="22"/>
                <w:color w:val="auto"/>
              </w:rPr>
            </w:pPr>
          </w:p>
        </w:tc>
        <w:tc>
          <w:tcPr>
            <w:tcW w:w="1300" w:type="dxa"/>
            <w:vAlign w:val="bottom"/>
          </w:tcPr>
          <w:p>
            <w:pPr>
              <w:jc w:val="right"/>
              <w:ind w:right="61"/>
              <w:spacing w:after="0"/>
              <w:rPr>
                <w:sz w:val="20"/>
                <w:szCs w:val="20"/>
                <w:color w:val="auto"/>
              </w:rPr>
            </w:pPr>
            <w:r>
              <w:rPr>
                <w:rFonts w:ascii="Arial" w:cs="Arial" w:eastAsia="Arial" w:hAnsi="Arial"/>
                <w:sz w:val="20"/>
                <w:szCs w:val="20"/>
                <w:color w:val="auto"/>
              </w:rPr>
              <w:t>(473,776)</w:t>
            </w:r>
          </w:p>
        </w:tc>
        <w:tc>
          <w:tcPr>
            <w:tcW w:w="160" w:type="dxa"/>
            <w:vAlign w:val="bottom"/>
            <w:gridSpan w:val="2"/>
          </w:tcPr>
          <w:p>
            <w:pPr>
              <w:jc w:val="right"/>
              <w:ind w:right="60"/>
              <w:spacing w:after="0"/>
              <w:rPr>
                <w:sz w:val="20"/>
                <w:szCs w:val="20"/>
                <w:color w:val="auto"/>
              </w:rPr>
            </w:pPr>
            <w:r>
              <w:rPr>
                <w:rFonts w:ascii="Arial" w:cs="Arial" w:eastAsia="Arial" w:hAnsi="Arial"/>
                <w:sz w:val="20"/>
                <w:szCs w:val="20"/>
                <w:color w:val="auto"/>
                <w:w w:val="71"/>
              </w:rPr>
              <w:t>$</w:t>
            </w:r>
          </w:p>
        </w:tc>
        <w:tc>
          <w:tcPr>
            <w:tcW w:w="4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(464,740)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stockholders’ equity</w:t>
            </w: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104,300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w w:val="71"/>
              </w:rPr>
              <w:t>$</w:t>
            </w: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112,211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0"/>
        </w:trPr>
        <w:tc>
          <w:tcPr>
            <w:tcW w:w="60" w:type="dxa"/>
            <w:vAlign w:val="bottom"/>
          </w:tcPr>
          <w:p>
            <w:pPr>
              <w:spacing w:after="0"/>
              <w:rPr>
                <w:sz w:val="24"/>
                <w:szCs w:val="24"/>
                <w:color w:val="auto"/>
              </w:rPr>
            </w:pPr>
          </w:p>
        </w:tc>
        <w:tc>
          <w:tcPr>
            <w:tcW w:w="7560" w:type="dxa"/>
            <w:vAlign w:val="bottom"/>
          </w:tcPr>
          <w:p>
            <w:pPr>
              <w:jc w:val="center"/>
              <w:ind w:left="3461"/>
              <w:spacing w:after="0"/>
              <w:rPr>
                <w:sz w:val="20"/>
                <w:szCs w:val="20"/>
                <w:color w:val="auto"/>
              </w:rPr>
            </w:pPr>
            <w:r>
              <w:rPr>
                <w:rFonts w:ascii="Arial" w:cs="Arial" w:eastAsia="Arial" w:hAnsi="Arial"/>
                <w:sz w:val="20"/>
                <w:szCs w:val="20"/>
                <w:b w:val="1"/>
                <w:bCs w:val="1"/>
                <w:color w:val="auto"/>
                <w:w w:val="98"/>
              </w:rPr>
              <w:t>Black Diamond Therapeutics, Inc.</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8120" w:type="dxa"/>
            <w:vAlign w:val="bottom"/>
            <w:gridSpan w:val="3"/>
          </w:tcPr>
          <w:p>
            <w:pPr>
              <w:jc w:val="center"/>
              <w:ind w:left="2901"/>
              <w:spacing w:after="0"/>
              <w:rPr>
                <w:sz w:val="20"/>
                <w:szCs w:val="20"/>
                <w:color w:val="auto"/>
              </w:rPr>
            </w:pPr>
            <w:r>
              <w:rPr>
                <w:rFonts w:ascii="Arial" w:cs="Arial" w:eastAsia="Arial" w:hAnsi="Arial"/>
                <w:sz w:val="20"/>
                <w:szCs w:val="20"/>
                <w:b w:val="1"/>
                <w:bCs w:val="1"/>
                <w:color w:val="auto"/>
                <w:w w:val="99"/>
              </w:rPr>
              <w:t>Consolidated Statements of Operations (Unaudited)</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7560" w:type="dxa"/>
            <w:vAlign w:val="bottom"/>
          </w:tcPr>
          <w:p>
            <w:pPr>
              <w:jc w:val="center"/>
              <w:ind w:left="3481"/>
              <w:spacing w:after="0"/>
              <w:rPr>
                <w:sz w:val="20"/>
                <w:szCs w:val="20"/>
                <w:color w:val="auto"/>
              </w:rPr>
            </w:pPr>
            <w:r>
              <w:rPr>
                <w:rFonts w:ascii="Arial" w:cs="Arial" w:eastAsia="Arial" w:hAnsi="Arial"/>
                <w:sz w:val="20"/>
                <w:szCs w:val="20"/>
                <w:b w:val="1"/>
                <w:bCs w:val="1"/>
                <w:color w:val="auto"/>
                <w:w w:val="98"/>
              </w:rPr>
              <w:t>(in thousands, except per share data)</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6"/>
            <w:vMerge w:val="restart"/>
          </w:tcPr>
          <w:p>
            <w:pPr>
              <w:ind w:left="500"/>
              <w:spacing w:after="0"/>
              <w:rPr>
                <w:sz w:val="20"/>
                <w:szCs w:val="20"/>
                <w:color w:val="auto"/>
              </w:rPr>
            </w:pPr>
            <w:r>
              <w:rPr>
                <w:rFonts w:ascii="Arial" w:cs="Arial" w:eastAsia="Arial" w:hAnsi="Arial"/>
                <w:sz w:val="20"/>
                <w:szCs w:val="20"/>
                <w:color w:val="auto"/>
              </w:rPr>
              <w:t>Three Months Ended</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March 31,</w:t>
            </w:r>
          </w:p>
        </w:tc>
        <w:tc>
          <w:tcPr>
            <w:tcW w:w="1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tcBorders>
          </w:tcPr>
          <w:p>
            <w:pPr>
              <w:spacing w:after="0"/>
              <w:rPr>
                <w:sz w:val="21"/>
                <w:szCs w:val="21"/>
                <w:color w:val="auto"/>
              </w:rPr>
            </w:pPr>
          </w:p>
        </w:tc>
        <w:tc>
          <w:tcPr>
            <w:tcW w:w="75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2026</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2025</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License revenue</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70,000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20" w:type="dxa"/>
            <w:vAlign w:val="bottom"/>
            <w:gridSpan w:val="2"/>
          </w:tcPr>
          <w:p>
            <w:pPr>
              <w:ind w:left="20"/>
              <w:spacing w:after="0"/>
              <w:rPr>
                <w:sz w:val="20"/>
                <w:szCs w:val="20"/>
                <w:color w:val="auto"/>
              </w:rPr>
            </w:pPr>
            <w:r>
              <w:rPr>
                <w:rFonts w:ascii="Arial" w:cs="Arial" w:eastAsia="Arial" w:hAnsi="Arial"/>
                <w:sz w:val="20"/>
                <w:szCs w:val="20"/>
                <w:color w:val="auto"/>
              </w:rPr>
              <w:t>Operating expenses:</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 w:type="dxa"/>
            <w:vAlign w:val="bottom"/>
            <w:shd w:val="clear" w:color="auto" w:fill="CCEEFF"/>
          </w:tcPr>
          <w:p>
            <w:pPr>
              <w:spacing w:after="0"/>
              <w:rPr>
                <w:sz w:val="22"/>
                <w:szCs w:val="22"/>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Research and development</w:t>
            </w: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7,003</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10,506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Borders>
              <w:bottom w:val="single" w:sz="8" w:color="CCEEFF"/>
            </w:tcBorders>
          </w:tcPr>
          <w:p>
            <w:pPr>
              <w:spacing w:after="0"/>
              <w:rPr>
                <w:sz w:val="22"/>
                <w:szCs w:val="22"/>
                <w:color w:val="auto"/>
              </w:rPr>
            </w:pPr>
          </w:p>
        </w:tc>
        <w:tc>
          <w:tcPr>
            <w:tcW w:w="756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General and administrative</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4,256</w:t>
            </w: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4,964</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Total operating expenses</w:t>
            </w:r>
          </w:p>
        </w:tc>
        <w:tc>
          <w:tcPr>
            <w:tcW w:w="3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11,259</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15,470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tcBorders>
          </w:tcPr>
          <w:p>
            <w:pPr>
              <w:spacing w:after="0"/>
              <w:rPr>
                <w:sz w:val="21"/>
                <w:szCs w:val="21"/>
                <w:color w:val="auto"/>
              </w:rPr>
            </w:pPr>
          </w:p>
        </w:tc>
        <w:tc>
          <w:tcPr>
            <w:tcW w:w="756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Income (loss) from operations</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(11,259)</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54,530</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Other income (expense):</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560" w:type="dxa"/>
            <w:vAlign w:val="bottom"/>
          </w:tcPr>
          <w:p>
            <w:pPr>
              <w:ind w:left="180"/>
              <w:spacing w:after="0"/>
              <w:rPr>
                <w:sz w:val="20"/>
                <w:szCs w:val="20"/>
                <w:color w:val="auto"/>
              </w:rPr>
            </w:pPr>
            <w:r>
              <w:rPr>
                <w:rFonts w:ascii="Arial" w:cs="Arial" w:eastAsia="Arial" w:hAnsi="Arial"/>
                <w:sz w:val="20"/>
                <w:szCs w:val="20"/>
                <w:color w:val="auto"/>
              </w:rPr>
              <w:t>Interest income</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1,023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595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 w:type="dxa"/>
            <w:vAlign w:val="bottom"/>
            <w:shd w:val="clear" w:color="auto" w:fill="CCEEFF"/>
          </w:tcPr>
          <w:p>
            <w:pPr>
              <w:spacing w:after="0"/>
              <w:rPr>
                <w:sz w:val="22"/>
                <w:szCs w:val="22"/>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Other income (expense)</w:t>
            </w:r>
          </w:p>
        </w:tc>
        <w:tc>
          <w:tcPr>
            <w:tcW w:w="3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1,200</w:t>
            </w:r>
          </w:p>
        </w:tc>
        <w:tc>
          <w:tcPr>
            <w:tcW w:w="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1,417</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20"/>
                <w:szCs w:val="20"/>
                <w:color w:val="auto"/>
              </w:rPr>
              <w:t>Total other income (expense), net</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2,223</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2,012</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(9,036)</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56,542</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Net income (loss) per share - basic</w:t>
            </w: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(0.16)</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20" w:type="dxa"/>
            <w:vAlign w:val="bottom"/>
            <w:gridSpan w:val="2"/>
          </w:tcPr>
          <w:p>
            <w:pPr>
              <w:ind w:left="20"/>
              <w:spacing w:after="0"/>
              <w:rPr>
                <w:sz w:val="20"/>
                <w:szCs w:val="20"/>
                <w:color w:val="auto"/>
              </w:rPr>
            </w:pPr>
            <w:r>
              <w:rPr>
                <w:rFonts w:ascii="Arial" w:cs="Arial" w:eastAsia="Arial" w:hAnsi="Arial"/>
                <w:sz w:val="20"/>
                <w:szCs w:val="20"/>
                <w:color w:val="auto"/>
              </w:rPr>
              <w:t>Net income (loss) per share - diluted</w:t>
            </w:r>
          </w:p>
        </w:tc>
        <w:tc>
          <w:tcPr>
            <w:tcW w:w="56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(0.16)</w:t>
            </w:r>
          </w:p>
        </w:tc>
        <w:tc>
          <w:tcPr>
            <w:tcW w:w="80" w:type="dxa"/>
            <w:vAlign w:val="bottom"/>
          </w:tcPr>
          <w:p>
            <w:pPr>
              <w:spacing w:after="0"/>
              <w:rPr>
                <w:sz w:val="22"/>
                <w:szCs w:val="22"/>
                <w:color w:val="auto"/>
              </w:rPr>
            </w:pPr>
          </w:p>
        </w:tc>
        <w:tc>
          <w:tcPr>
            <w:tcW w:w="4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0.98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62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620" w:type="dxa"/>
            <w:vAlign w:val="bottom"/>
            <w:gridSpan w:val="2"/>
          </w:tcPr>
          <w:p>
            <w:pPr>
              <w:ind w:left="20"/>
              <w:spacing w:after="0"/>
              <w:rPr>
                <w:sz w:val="20"/>
                <w:szCs w:val="20"/>
                <w:color w:val="auto"/>
              </w:rPr>
            </w:pPr>
            <w:r>
              <w:rPr>
                <w:rFonts w:ascii="Arial" w:cs="Arial" w:eastAsia="Arial" w:hAnsi="Arial"/>
                <w:sz w:val="20"/>
                <w:szCs w:val="20"/>
                <w:color w:val="auto"/>
              </w:rPr>
              <w:t>Weighted average common shares outstanding - basic</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57,233,413</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20"/>
                <w:szCs w:val="20"/>
                <w:color w:val="auto"/>
                <w:w w:val="97"/>
              </w:rPr>
              <w:t>56,663,798</w:t>
            </w:r>
          </w:p>
        </w:tc>
        <w:tc>
          <w:tcPr>
            <w:tcW w:w="0" w:type="dxa"/>
            <w:vAlign w:val="bottom"/>
          </w:tcPr>
          <w:p>
            <w:pPr>
              <w:spacing w:after="0"/>
              <w:rPr>
                <w:sz w:val="1"/>
                <w:szCs w:val="1"/>
                <w:color w:val="auto"/>
              </w:rPr>
            </w:pPr>
          </w:p>
        </w:tc>
      </w:tr>
      <w:tr>
        <w:trPr>
          <w:trHeight w:val="25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Weighted average common shares outstanding - diluted</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57,233,413</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w w:val="97"/>
              </w:rPr>
              <w:t>57,673,099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For Investors: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0563C1"/>
        </w:rPr>
        <w:t>investors@bdtx.com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For Media:</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0563C1"/>
        </w:rPr>
        <w:t>media@bdtx.com</w:t>
      </w:r>
    </w:p>
    <w:p>
      <w:pPr>
        <w:spacing w:after="0" w:line="200" w:lineRule="exact"/>
        <w:rPr>
          <w:sz w:val="20"/>
          <w:szCs w:val="20"/>
          <w:color w:val="auto"/>
        </w:rPr>
      </w:pPr>
    </w:p>
    <w:p>
      <w:pPr>
        <w:spacing w:after="0" w:line="281" w:lineRule="exact"/>
        <w:rPr>
          <w:sz w:val="20"/>
          <w:szCs w:val="20"/>
          <w:color w:val="auto"/>
        </w:rPr>
      </w:pPr>
    </w:p>
    <w:p>
      <w:pPr>
        <w:jc w:val="right"/>
        <w:ind w:right="4299"/>
        <w:spacing w:after="0"/>
        <w:rPr>
          <w:sz w:val="20"/>
          <w:szCs w:val="20"/>
          <w:color w:val="auto"/>
        </w:rPr>
      </w:pPr>
      <w:r>
        <w:rPr>
          <w:rFonts w:ascii="Arial" w:cs="Arial" w:eastAsia="Arial" w:hAnsi="Arial"/>
          <w:sz w:val="20"/>
          <w:szCs w:val="20"/>
          <w:color w:val="auto"/>
        </w:rPr>
        <w:t># # #</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2026-05-07T06:19:39Z</dcterms:created>
  <dcterms:modified xsi:type="dcterms:W3CDTF">2026-05-07T06:19:39Z</dcterms:modified>
</cp:coreProperties>
</file>