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354330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177165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700"/>
        <w:spacing w:after="0"/>
        <w:tabs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177165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40"/>
        <w:spacing w:after="0" w:line="184" w:lineRule="exact"/>
        <w:tabs>
          <w:tab w:leader="none" w:pos="2160" w:val="left"/>
          <w:tab w:leader="none" w:pos="714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00" w:hanging="45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00" w:hanging="45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00" w:hanging="45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" w:hanging="458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00" w:hanging="458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BLACK DIAMOND THERAPEUTICS, INC.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600" w:hanging="558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 w:hanging="558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00" w:hanging="558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below in exhibit required by Item 25(b) Exchange Act Rules 14a-6(i)(14)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163195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186690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624205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320" w:top="798" w:right="9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381635</wp:posOffset>
            </wp:positionH>
            <wp:positionV relativeFrom="page">
              <wp:posOffset>416560</wp:posOffset>
            </wp:positionV>
            <wp:extent cx="6777355" cy="89249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355" cy="892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69735" cy="89249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735" cy="892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2026-04-29T15:40:45Z</dcterms:created>
  <dcterms:modified xsi:type="dcterms:W3CDTF">2026-04-29T15:40:45Z</dcterms:modified>
</cp:coreProperties>
</file>