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Campbell Shannon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00"/>
        <w:spacing w:after="0" w:line="343" w:lineRule="auto"/>
        <w:rPr>
          <w:sz w:val="20"/>
          <w:szCs w:val="20"/>
          <w:color w:val="auto"/>
        </w:rPr>
      </w:pPr>
      <w:r>
        <w:rPr>
          <w:rFonts w:ascii="Times New Roman" w:cs="Times New Roman" w:eastAsia="Times New Roman" w:hAnsi="Times New Roman"/>
          <w:sz w:val="17"/>
          <w:szCs w:val="17"/>
          <w:color w:val="0000FF"/>
        </w:rPr>
        <w:t>C/O BLACK DIAMOND THERAPEUTICS, INC. ONE MAIN STREET, 14TH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Black Diamond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BDTX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26, 2027 or (ii) the Issuer's next annual meeting of stockholders, subject to the Reporting Person's continued service on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Brent Hatzis-Schoch,</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8966" TargetMode="External"/><Relationship Id="rId14" Type="http://schemas.openxmlformats.org/officeDocument/2006/relationships/hyperlink" Target="http://www.sec.gov/cgi-bin/browse-edgar?action=getcompany&amp;CIK=0001701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2026-06-29T15:54:35Z</dcterms:created>
  <dcterms:modified xsi:type="dcterms:W3CDTF">2026-06-29T15:54:35Z</dcterms:modified>
</cp:coreProperties>
</file>