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790575</wp:posOffset>
                </wp:positionH>
                <wp:positionV relativeFrom="page">
                  <wp:posOffset>4201795</wp:posOffset>
                </wp:positionV>
                <wp:extent cx="595376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37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25pt,330.85pt" to="531.05pt,330.85pt" o:allowincell="f" strokecolor="#000000" strokeweight="0.9599pt">
                <w10:wrap anchorx="page" anchory="page"/>
              </v:line>
            </w:pict>
          </mc:Fallback>
        </mc:AlternateContent>
        <w:drawing>
          <wp:anchor simplePos="0" relativeHeight="251657728" behindDoc="1" locked="0" layoutInCell="0" allowOverlap="1">
            <wp:simplePos x="0" y="0"/>
            <wp:positionH relativeFrom="page">
              <wp:posOffset>2388235</wp:posOffset>
            </wp:positionH>
            <wp:positionV relativeFrom="page">
              <wp:posOffset>2644775</wp:posOffset>
            </wp:positionV>
            <wp:extent cx="276860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extLst>
                    </a:blip>
                    <a:srcRect/>
                    <a:stretch>
                      <a:fillRect/>
                    </a:stretch>
                  </pic:blipFill>
                  <pic:spPr bwMode="auto">
                    <a:xfrm>
                      <a:off x="0" y="0"/>
                      <a:ext cx="2768600" cy="647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left="700" w:right="700"/>
        <w:spacing w:after="0" w:line="497" w:lineRule="auto"/>
        <w:rPr>
          <w:sz w:val="20"/>
          <w:szCs w:val="20"/>
          <w:color w:val="auto"/>
        </w:rPr>
      </w:pPr>
      <w:r>
        <w:rPr>
          <w:rFonts w:ascii="Arial" w:cs="Arial" w:eastAsia="Arial" w:hAnsi="Arial"/>
          <w:sz w:val="35"/>
          <w:szCs w:val="35"/>
          <w:b w:val="1"/>
          <w:bCs w:val="1"/>
          <w:color w:val="auto"/>
        </w:rPr>
        <w:t>BLACK DIAMOND THERAPEUTICS, INC. 2025 ANNUAL REPORT TO STOCKHOLDERS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-123190</wp:posOffset>
                </wp:positionH>
                <wp:positionV relativeFrom="paragraph">
                  <wp:posOffset>-100330</wp:posOffset>
                </wp:positionV>
                <wp:extent cx="59531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31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999pt,-7.8999pt" to="459.05pt,-7.8999pt" o:allowincell="f" strokecolor="#000000" strokeweight="0.96pt"/>
            </w:pict>
          </mc:Fallback>
        </mc:AlternateContent>
      </w:r>
    </w:p>
    <w:p>
      <w:pPr>
        <w:sectPr>
          <w:pgSz w:w="11880" w:h="15480" w:orient="portrait"/>
          <w:cols w:equalWidth="0" w:num="1">
            <w:col w:w="900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___________________________________________</w:t>
      </w: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1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82" w:lineRule="exact"/>
        <w:rPr>
          <w:sz w:val="20"/>
          <w:szCs w:val="20"/>
          <w:color w:val="auto"/>
        </w:rPr>
      </w:pPr>
    </w:p>
    <w:p>
      <w:pPr>
        <w:ind w:left="340" w:right="220" w:hanging="287"/>
        <w:spacing w:after="0" w:line="243" w:lineRule="auto"/>
        <w:tabs>
          <w:tab w:leader="none" w:pos="340" w:val="left"/>
        </w:tabs>
        <w:numPr>
          <w:ilvl w:val="0"/>
          <w:numId w:val="1"/>
        </w:numPr>
        <w:rPr>
          <w:rFonts w:ascii="MS PGothic" w:cs="MS PGothic" w:eastAsia="MS PGothic" w:hAnsi="MS PGothic"/>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49" w:lineRule="exact"/>
        <w:rPr>
          <w:sz w:val="20"/>
          <w:szCs w:val="20"/>
          <w:color w:val="auto"/>
        </w:rPr>
      </w:pPr>
    </w:p>
    <w:p>
      <w:pPr>
        <w:ind w:left="340" w:right="280" w:hanging="287"/>
        <w:spacing w:after="0" w:line="243" w:lineRule="auto"/>
        <w:tabs>
          <w:tab w:leader="none" w:pos="340" w:val="left"/>
        </w:tabs>
        <w:numPr>
          <w:ilvl w:val="0"/>
          <w:numId w:val="2"/>
        </w:numPr>
        <w:rPr>
          <w:rFonts w:ascii="MS PGothic" w:cs="MS PGothic" w:eastAsia="MS PGothic" w:hAnsi="MS PGothic"/>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TRANSITION PERIOD FROM _ TO _</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001-38501</w:t>
      </w:r>
    </w:p>
    <w:p>
      <w:pPr>
        <w:ind w:left="2860"/>
        <w:spacing w:after="0" w:line="236" w:lineRule="auto"/>
        <w:rPr>
          <w:sz w:val="20"/>
          <w:szCs w:val="20"/>
          <w:color w:val="auto"/>
        </w:rPr>
      </w:pPr>
      <w:r>
        <w:rPr>
          <w:rFonts w:ascii="Arial" w:cs="Arial" w:eastAsia="Arial" w:hAnsi="Arial"/>
          <w:sz w:val="22"/>
          <w:szCs w:val="22"/>
          <w:b w:val="1"/>
          <w:bCs w:val="1"/>
          <w:color w:val="auto"/>
        </w:rPr>
        <w:t>___________________________________________</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BLACK DIAMOND THERAPEUTICS,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7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260" w:type="dxa"/>
            <w:vAlign w:val="bottom"/>
          </w:tcPr>
          <w:p>
            <w:pPr>
              <w:jc w:val="center"/>
              <w:ind w:right="190"/>
              <w:spacing w:after="0"/>
              <w:rPr>
                <w:sz w:val="20"/>
                <w:szCs w:val="20"/>
                <w:color w:val="auto"/>
              </w:rPr>
            </w:pPr>
            <w:r>
              <w:rPr>
                <w:rFonts w:ascii="Arial" w:cs="Arial" w:eastAsia="Arial" w:hAnsi="Arial"/>
                <w:sz w:val="18"/>
                <w:szCs w:val="18"/>
                <w:color w:val="auto"/>
                <w:w w:val="92"/>
              </w:rPr>
              <w:t>Delaware</w:t>
            </w:r>
          </w:p>
        </w:tc>
        <w:tc>
          <w:tcPr>
            <w:tcW w:w="4160" w:type="dxa"/>
            <w:vAlign w:val="bottom"/>
          </w:tcPr>
          <w:p>
            <w:pPr>
              <w:jc w:val="right"/>
              <w:ind w:right="190"/>
              <w:spacing w:after="0"/>
              <w:rPr>
                <w:sz w:val="20"/>
                <w:szCs w:val="20"/>
                <w:color w:val="auto"/>
              </w:rPr>
            </w:pPr>
            <w:r>
              <w:rPr>
                <w:rFonts w:ascii="Arial" w:cs="Arial" w:eastAsia="Arial" w:hAnsi="Arial"/>
                <w:sz w:val="18"/>
                <w:szCs w:val="18"/>
                <w:color w:val="auto"/>
              </w:rPr>
              <w:t>81-4254660</w:t>
            </w:r>
          </w:p>
        </w:tc>
      </w:tr>
      <w:tr>
        <w:trPr>
          <w:trHeight w:val="281"/>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(State or other jurisdiction</w:t>
            </w:r>
          </w:p>
        </w:tc>
        <w:tc>
          <w:tcPr>
            <w:tcW w:w="416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(I.R.S. Employer</w:t>
            </w:r>
          </w:p>
        </w:tc>
      </w:tr>
      <w:tr>
        <w:trPr>
          <w:trHeight w:val="290"/>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of incorporation or organization)</w:t>
            </w:r>
          </w:p>
        </w:tc>
        <w:tc>
          <w:tcPr>
            <w:tcW w:w="4160" w:type="dxa"/>
            <w:vAlign w:val="bottom"/>
          </w:tcPr>
          <w:p>
            <w:pPr>
              <w:jc w:val="center"/>
              <w:ind w:left="2650"/>
              <w:spacing w:after="0"/>
              <w:rPr>
                <w:sz w:val="20"/>
                <w:szCs w:val="20"/>
                <w:color w:val="auto"/>
              </w:rPr>
            </w:pPr>
            <w:r>
              <w:rPr>
                <w:rFonts w:ascii="Arial" w:cs="Arial" w:eastAsia="Arial" w:hAnsi="Arial"/>
                <w:sz w:val="18"/>
                <w:szCs w:val="18"/>
                <w:b w:val="1"/>
                <w:bCs w:val="1"/>
                <w:color w:val="auto"/>
                <w:w w:val="93"/>
              </w:rPr>
              <w:t>Identification No.)</w:t>
            </w:r>
          </w:p>
        </w:tc>
      </w:tr>
      <w:tr>
        <w:trPr>
          <w:trHeight w:val="283"/>
        </w:trPr>
        <w:tc>
          <w:tcPr>
            <w:tcW w:w="3260" w:type="dxa"/>
            <w:vAlign w:val="bottom"/>
          </w:tcPr>
          <w:p>
            <w:pPr>
              <w:jc w:val="center"/>
              <w:ind w:right="190"/>
              <w:spacing w:after="0"/>
              <w:rPr>
                <w:sz w:val="20"/>
                <w:szCs w:val="20"/>
                <w:color w:val="auto"/>
              </w:rPr>
            </w:pPr>
            <w:r>
              <w:rPr>
                <w:rFonts w:ascii="Arial" w:cs="Arial" w:eastAsia="Arial" w:hAnsi="Arial"/>
                <w:sz w:val="18"/>
                <w:szCs w:val="18"/>
                <w:color w:val="auto"/>
                <w:w w:val="90"/>
              </w:rPr>
              <w:t>245 First Street, 18th Floor</w:t>
            </w:r>
          </w:p>
        </w:tc>
        <w:tc>
          <w:tcPr>
            <w:tcW w:w="4160" w:type="dxa"/>
            <w:vAlign w:val="bottom"/>
          </w:tcPr>
          <w:p>
            <w:pPr>
              <w:spacing w:after="0"/>
              <w:rPr>
                <w:sz w:val="24"/>
                <w:szCs w:val="24"/>
                <w:color w:val="auto"/>
              </w:rPr>
            </w:pPr>
          </w:p>
        </w:tc>
      </w:tr>
      <w:tr>
        <w:trPr>
          <w:trHeight w:val="250"/>
        </w:trPr>
        <w:tc>
          <w:tcPr>
            <w:tcW w:w="3260" w:type="dxa"/>
            <w:vAlign w:val="bottom"/>
          </w:tcPr>
          <w:p>
            <w:pPr>
              <w:jc w:val="center"/>
              <w:ind w:right="190"/>
              <w:spacing w:after="0"/>
              <w:rPr>
                <w:sz w:val="20"/>
                <w:szCs w:val="20"/>
                <w:color w:val="auto"/>
              </w:rPr>
            </w:pPr>
            <w:r>
              <w:rPr>
                <w:rFonts w:ascii="Arial" w:cs="Arial" w:eastAsia="Arial" w:hAnsi="Arial"/>
                <w:sz w:val="18"/>
                <w:szCs w:val="18"/>
                <w:color w:val="auto"/>
                <w:w w:val="88"/>
              </w:rPr>
              <w:t>Cambridge, Massachusetts</w:t>
            </w:r>
          </w:p>
        </w:tc>
        <w:tc>
          <w:tcPr>
            <w:tcW w:w="4160" w:type="dxa"/>
            <w:vAlign w:val="bottom"/>
          </w:tcPr>
          <w:p>
            <w:pPr>
              <w:jc w:val="right"/>
              <w:ind w:right="390"/>
              <w:spacing w:after="0"/>
              <w:rPr>
                <w:sz w:val="20"/>
                <w:szCs w:val="20"/>
                <w:color w:val="auto"/>
              </w:rPr>
            </w:pPr>
            <w:r>
              <w:rPr>
                <w:rFonts w:ascii="Arial" w:cs="Arial" w:eastAsia="Arial" w:hAnsi="Arial"/>
                <w:sz w:val="18"/>
                <w:szCs w:val="18"/>
                <w:color w:val="auto"/>
              </w:rPr>
              <w:t>02142</w:t>
            </w:r>
          </w:p>
        </w:tc>
      </w:tr>
      <w:tr>
        <w:trPr>
          <w:trHeight w:val="247"/>
        </w:trPr>
        <w:tc>
          <w:tcPr>
            <w:tcW w:w="32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160" w:type="dxa"/>
            <w:vAlign w:val="bottom"/>
          </w:tcPr>
          <w:p>
            <w:pPr>
              <w:jc w:val="center"/>
              <w:ind w:left="2650"/>
              <w:spacing w:after="0"/>
              <w:rPr>
                <w:sz w:val="20"/>
                <w:szCs w:val="20"/>
                <w:color w:val="auto"/>
              </w:rPr>
            </w:pPr>
            <w:r>
              <w:rPr>
                <w:rFonts w:ascii="Arial" w:cs="Arial" w:eastAsia="Arial" w:hAnsi="Arial"/>
                <w:sz w:val="18"/>
                <w:szCs w:val="18"/>
                <w:b w:val="1"/>
                <w:bCs w:val="1"/>
                <w:color w:val="auto"/>
                <w:w w:val="92"/>
              </w:rPr>
              <w:t>(Zip Code)</w:t>
            </w:r>
          </w:p>
        </w:tc>
      </w:tr>
      <w:tr>
        <w:trPr>
          <w:trHeight w:val="278"/>
        </w:trPr>
        <w:tc>
          <w:tcPr>
            <w:tcW w:w="3260" w:type="dxa"/>
            <w:vAlign w:val="bottom"/>
          </w:tcPr>
          <w:p>
            <w:pPr>
              <w:spacing w:after="0"/>
              <w:rPr>
                <w:sz w:val="24"/>
                <w:szCs w:val="24"/>
                <w:color w:val="auto"/>
              </w:rPr>
            </w:pPr>
          </w:p>
        </w:tc>
        <w:tc>
          <w:tcPr>
            <w:tcW w:w="4160" w:type="dxa"/>
            <w:vAlign w:val="bottom"/>
          </w:tcPr>
          <w:p>
            <w:pPr>
              <w:jc w:val="right"/>
              <w:ind w:right="2670"/>
              <w:spacing w:after="0"/>
              <w:rPr>
                <w:sz w:val="20"/>
                <w:szCs w:val="20"/>
                <w:color w:val="auto"/>
              </w:rPr>
            </w:pPr>
            <w:r>
              <w:rPr>
                <w:rFonts w:ascii="Arial" w:cs="Arial" w:eastAsia="Arial" w:hAnsi="Arial"/>
                <w:sz w:val="18"/>
                <w:szCs w:val="18"/>
                <w:color w:val="auto"/>
              </w:rPr>
              <w:t>(617) 252-0848</w:t>
            </w:r>
          </w:p>
        </w:tc>
      </w:tr>
    </w:tbl>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66294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522pt,11.05pt" o:allowincell="f" strokecolor="#000000" strokeweight="2pt"/>
            </w:pict>
          </mc:Fallback>
        </mc:AlternateConten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wp:posOffset>
                </wp:positionV>
                <wp:extent cx="0" cy="34607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5pt" to="0pt,3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2238375</wp:posOffset>
                </wp:positionH>
                <wp:positionV relativeFrom="paragraph">
                  <wp:posOffset>38735</wp:posOffset>
                </wp:positionV>
                <wp:extent cx="0" cy="34607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25pt,3.05pt" to="176.25pt,3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3562350</wp:posOffset>
                </wp:positionH>
                <wp:positionV relativeFrom="paragraph">
                  <wp:posOffset>38735</wp:posOffset>
                </wp:positionV>
                <wp:extent cx="0" cy="34607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5pt,3.05pt" to="280.5pt,3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6629400</wp:posOffset>
                </wp:positionH>
                <wp:positionV relativeFrom="paragraph">
                  <wp:posOffset>38735</wp:posOffset>
                </wp:positionV>
                <wp:extent cx="0" cy="34607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2pt,3.05pt" to="522pt,30.3pt" o:allowincell="f" strokecolor="#000000" strokeweight="0pt"/>
            </w:pict>
          </mc:Fallback>
        </mc:AlternateConten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Name of each exchange on which registered</w:t>
            </w:r>
          </w:p>
        </w:tc>
      </w:tr>
      <w:tr>
        <w:trPr>
          <w:trHeight w:val="250"/>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Common stock, par value $0.0001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BDTX</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The Nasdaq Global Select Market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104775</wp:posOffset>
                </wp:positionV>
                <wp:extent cx="66294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5pt" to="522pt,8.25pt" o:allowincell="f" strokecolor="#000000" strokeweight="2pt"/>
            </w:pict>
          </mc:Fallback>
        </mc:AlternateContent>
      </w:r>
    </w:p>
    <w:p>
      <w:pPr>
        <w:spacing w:after="0" w:line="17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___________________________________________</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Securities registered pursuant to Section 12(g) of the Act: None.</w:t>
      </w:r>
    </w:p>
    <w:p>
      <w:pPr>
        <w:spacing w:after="0" w:line="130" w:lineRule="exact"/>
        <w:rPr>
          <w:sz w:val="20"/>
          <w:szCs w:val="20"/>
          <w:color w:val="auto"/>
        </w:rPr>
      </w:pPr>
    </w:p>
    <w:p>
      <w:pPr>
        <w:ind w:right="1460"/>
        <w:spacing w:after="0" w:line="267" w:lineRule="exact"/>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67" w:lineRule="exact"/>
        <w:rPr>
          <w:sz w:val="20"/>
          <w:szCs w:val="20"/>
          <w:color w:val="auto"/>
        </w:rPr>
      </w:pPr>
    </w:p>
    <w:p>
      <w:pPr>
        <w:ind w:right="1280"/>
        <w:spacing w:after="0" w:line="267" w:lineRule="exact"/>
        <w:rPr>
          <w:sz w:val="20"/>
          <w:szCs w:val="20"/>
          <w:color w:val="auto"/>
        </w:rPr>
      </w:pPr>
      <w:r>
        <w:rPr>
          <w:rFonts w:ascii="Arial" w:cs="Arial" w:eastAsia="Arial" w:hAnsi="Arial"/>
          <w:sz w:val="20"/>
          <w:szCs w:val="20"/>
          <w:color w:val="auto"/>
        </w:rPr>
        <w:t xml:space="preserve">Indicate by check mark if the registrant is not required to file reports pursuant to Section 13 or Section 15(d) of the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67" w:lineRule="exact"/>
        <w:rPr>
          <w:sz w:val="20"/>
          <w:szCs w:val="20"/>
          <w:color w:val="auto"/>
        </w:rPr>
      </w:pPr>
    </w:p>
    <w:p>
      <w:pPr>
        <w:ind w:right="160"/>
        <w:spacing w:after="0" w:line="258"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67" w:lineRule="exact"/>
        <w:rPr>
          <w:sz w:val="20"/>
          <w:szCs w:val="20"/>
          <w:color w:val="auto"/>
        </w:rPr>
      </w:pPr>
    </w:p>
    <w:p>
      <w:pPr>
        <w:ind w:right="80"/>
        <w:spacing w:after="0" w:line="258" w:lineRule="exact"/>
        <w:rPr>
          <w:sz w:val="20"/>
          <w:szCs w:val="20"/>
          <w:color w:val="auto"/>
        </w:rPr>
      </w:pPr>
      <w:r>
        <w:rPr>
          <w:rFonts w:ascii="Arial" w:cs="Arial" w:eastAsia="Arial" w:hAnsi="Arial"/>
          <w:sz w:val="20"/>
          <w:szCs w:val="2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Arial" w:cs="Arial" w:eastAsia="Arial" w:hAnsi="Arial"/>
          <w:sz w:val="20"/>
          <w:szCs w:val="20"/>
          <w:b w:val="1"/>
          <w:bCs w:val="1"/>
          <w:color w:val="auto"/>
        </w:rPr>
        <w:t>¨</w:t>
      </w:r>
    </w:p>
    <w:p>
      <w:pPr>
        <w:sectPr>
          <w:pgSz w:w="11880" w:h="15480" w:orient="portrait"/>
          <w:cols w:equalWidth="0" w:num="1">
            <w:col w:w="10460"/>
          </w:cols>
          <w:pgMar w:left="720" w:top="609" w:right="700" w:bottom="1440" w:gutter="0" w:footer="0" w:header="0"/>
        </w:sectPr>
      </w:pPr>
    </w:p>
    <w:bookmarkStart w:id="3" w:name="page4"/>
    <w:bookmarkEnd w:id="3"/>
    <w:p>
      <w:pPr>
        <w:ind w:right="100"/>
        <w:spacing w:after="0" w:line="266"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92"/>
        </w:trPr>
        <w:tc>
          <w:tcPr>
            <w:tcW w:w="1940" w:type="dxa"/>
            <w:vAlign w:val="bottom"/>
          </w:tcPr>
          <w:p>
            <w:pPr>
              <w:spacing w:after="0"/>
              <w:rPr>
                <w:sz w:val="20"/>
                <w:szCs w:val="20"/>
                <w:color w:val="auto"/>
              </w:rPr>
            </w:pPr>
            <w:r>
              <w:rPr>
                <w:rFonts w:ascii="Arial" w:cs="Arial" w:eastAsia="Arial" w:hAnsi="Arial"/>
                <w:sz w:val="20"/>
                <w:szCs w:val="20"/>
                <w:color w:val="auto"/>
                <w:w w:val="97"/>
              </w:rPr>
              <w:t>Large accelerated filer</w:t>
            </w:r>
          </w:p>
        </w:tc>
        <w:tc>
          <w:tcPr>
            <w:tcW w:w="2460" w:type="dxa"/>
            <w:vAlign w:val="bottom"/>
          </w:tcPr>
          <w:p>
            <w:pPr>
              <w:ind w:left="160"/>
              <w:spacing w:after="0" w:line="201" w:lineRule="exact"/>
              <w:rPr>
                <w:sz w:val="20"/>
                <w:szCs w:val="20"/>
                <w:color w:val="auto"/>
              </w:rPr>
            </w:pPr>
            <w:r>
              <w:rPr>
                <w:rFonts w:ascii="MS PGothic" w:cs="MS PGothic" w:eastAsia="MS PGothic" w:hAnsi="MS PGothic"/>
                <w:sz w:val="20"/>
                <w:szCs w:val="20"/>
                <w:b w:val="1"/>
                <w:bCs w:val="1"/>
                <w:color w:val="auto"/>
              </w:rPr>
              <w:t>☐</w:t>
            </w:r>
          </w:p>
        </w:tc>
        <w:tc>
          <w:tcPr>
            <w:tcW w:w="5040" w:type="dxa"/>
            <w:vAlign w:val="bottom"/>
          </w:tcPr>
          <w:p>
            <w:pPr>
              <w:ind w:left="2140"/>
              <w:spacing w:after="0"/>
              <w:rPr>
                <w:sz w:val="20"/>
                <w:szCs w:val="20"/>
                <w:color w:val="auto"/>
              </w:rPr>
            </w:pPr>
            <w:r>
              <w:rPr>
                <w:rFonts w:ascii="Arial" w:cs="Arial" w:eastAsia="Arial" w:hAnsi="Arial"/>
                <w:sz w:val="20"/>
                <w:szCs w:val="20"/>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360"/>
        </w:trPr>
        <w:tc>
          <w:tcPr>
            <w:tcW w:w="1940" w:type="dxa"/>
            <w:vAlign w:val="bottom"/>
          </w:tcPr>
          <w:p>
            <w:pPr>
              <w:spacing w:after="0"/>
              <w:rPr>
                <w:sz w:val="20"/>
                <w:szCs w:val="20"/>
                <w:color w:val="auto"/>
              </w:rPr>
            </w:pPr>
            <w:r>
              <w:rPr>
                <w:rFonts w:ascii="Arial" w:cs="Arial" w:eastAsia="Arial" w:hAnsi="Arial"/>
                <w:sz w:val="20"/>
                <w:szCs w:val="20"/>
                <w:color w:val="auto"/>
              </w:rPr>
              <w:t>Non-accelerated filer</w:t>
            </w:r>
          </w:p>
        </w:tc>
        <w:tc>
          <w:tcPr>
            <w:tcW w:w="2460" w:type="dxa"/>
            <w:vAlign w:val="bottom"/>
          </w:tcPr>
          <w:p>
            <w:pPr>
              <w:ind w:left="160"/>
              <w:spacing w:after="0" w:line="201" w:lineRule="exact"/>
              <w:rPr>
                <w:sz w:val="20"/>
                <w:szCs w:val="20"/>
                <w:color w:val="auto"/>
              </w:rPr>
            </w:pPr>
            <w:r>
              <w:rPr>
                <w:rFonts w:ascii="MS PGothic" w:cs="MS PGothic" w:eastAsia="MS PGothic" w:hAnsi="MS PGothic"/>
                <w:sz w:val="20"/>
                <w:szCs w:val="20"/>
                <w:b w:val="1"/>
                <w:bCs w:val="1"/>
                <w:color w:val="auto"/>
              </w:rPr>
              <w:t>☒</w:t>
            </w:r>
          </w:p>
        </w:tc>
        <w:tc>
          <w:tcPr>
            <w:tcW w:w="5040" w:type="dxa"/>
            <w:vAlign w:val="bottom"/>
          </w:tcPr>
          <w:p>
            <w:pPr>
              <w:ind w:left="2140"/>
              <w:spacing w:after="0"/>
              <w:rPr>
                <w:sz w:val="20"/>
                <w:szCs w:val="20"/>
                <w:color w:val="auto"/>
              </w:rPr>
            </w:pPr>
            <w:r>
              <w:rPr>
                <w:rFonts w:ascii="Arial" w:cs="Arial" w:eastAsia="Arial" w:hAnsi="Arial"/>
                <w:sz w:val="20"/>
                <w:szCs w:val="20"/>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360"/>
        </w:trPr>
        <w:tc>
          <w:tcPr>
            <w:tcW w:w="1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040" w:type="dxa"/>
            <w:vAlign w:val="bottom"/>
          </w:tcPr>
          <w:p>
            <w:pPr>
              <w:ind w:left="2140"/>
              <w:spacing w:after="0"/>
              <w:rPr>
                <w:sz w:val="20"/>
                <w:szCs w:val="20"/>
                <w:color w:val="auto"/>
              </w:rPr>
            </w:pPr>
            <w:r>
              <w:rPr>
                <w:rFonts w:ascii="Arial" w:cs="Arial" w:eastAsia="Arial" w:hAnsi="Arial"/>
                <w:sz w:val="20"/>
                <w:szCs w:val="20"/>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b w:val="1"/>
                <w:bCs w:val="1"/>
                <w:color w:val="auto"/>
                <w:w w:val="70"/>
              </w:rPr>
              <w:t>☐</w:t>
            </w:r>
          </w:p>
        </w:tc>
      </w:tr>
    </w:tbl>
    <w:p>
      <w:pPr>
        <w:spacing w:after="0" w:line="213" w:lineRule="exact"/>
        <w:rPr>
          <w:sz w:val="20"/>
          <w:szCs w:val="20"/>
          <w:color w:val="auto"/>
        </w:rPr>
      </w:pPr>
    </w:p>
    <w:p>
      <w:pPr>
        <w:ind w:right="140"/>
        <w:spacing w:after="0" w:line="25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83" w:lineRule="exact"/>
        <w:rPr>
          <w:sz w:val="20"/>
          <w:szCs w:val="20"/>
          <w:color w:val="auto"/>
        </w:rPr>
      </w:pPr>
    </w:p>
    <w:p>
      <w:pPr>
        <w:ind w:right="140"/>
        <w:spacing w:after="0" w:line="253" w:lineRule="exact"/>
        <w:rPr>
          <w:sz w:val="20"/>
          <w:szCs w:val="20"/>
          <w:color w:val="auto"/>
        </w:rPr>
      </w:pPr>
      <w:r>
        <w:rPr>
          <w:rFonts w:ascii="Arial" w:cs="Arial" w:eastAsia="Arial" w:hAnsi="Arial"/>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b w:val="1"/>
          <w:bCs w:val="1"/>
          <w:color w:val="auto"/>
        </w:rPr>
        <w:t>☐</w:t>
      </w:r>
    </w:p>
    <w:p>
      <w:pPr>
        <w:spacing w:after="0" w:line="84" w:lineRule="exact"/>
        <w:rPr>
          <w:sz w:val="20"/>
          <w:szCs w:val="20"/>
          <w:color w:val="auto"/>
        </w:rPr>
      </w:pPr>
    </w:p>
    <w:p>
      <w:pPr>
        <w:ind w:right="320"/>
        <w:spacing w:after="0" w:line="259" w:lineRule="exact"/>
        <w:rPr>
          <w:sz w:val="20"/>
          <w:szCs w:val="20"/>
          <w:color w:val="auto"/>
        </w:rPr>
      </w:pPr>
      <w:r>
        <w:rPr>
          <w:rFonts w:ascii="Arial" w:cs="Arial" w:eastAsia="Arial" w:hAnsi="Arial"/>
          <w:sz w:val="19"/>
          <w:szCs w:val="1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9"/>
          <w:szCs w:val="19"/>
          <w:b w:val="1"/>
          <w:bCs w:val="1"/>
          <w:color w:val="auto"/>
        </w:rPr>
        <w:t>☐</w:t>
      </w:r>
    </w:p>
    <w:p>
      <w:pPr>
        <w:spacing w:after="0" w:line="83" w:lineRule="exact"/>
        <w:rPr>
          <w:sz w:val="20"/>
          <w:szCs w:val="20"/>
          <w:color w:val="auto"/>
        </w:rPr>
      </w:pPr>
    </w:p>
    <w:p>
      <w:pPr>
        <w:ind w:right="400"/>
        <w:spacing w:after="0" w:line="253" w:lineRule="exact"/>
        <w:rPr>
          <w:sz w:val="20"/>
          <w:szCs w:val="20"/>
          <w:color w:val="auto"/>
        </w:rPr>
      </w:pPr>
      <w:r>
        <w:rPr>
          <w:rFonts w:ascii="Arial" w:cs="Arial" w:eastAsia="Arial" w:hAnsi="Arial"/>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b w:val="1"/>
          <w:bCs w:val="1"/>
          <w:color w:val="auto"/>
        </w:rPr>
        <w:t>☐</w:t>
      </w:r>
    </w:p>
    <w:p>
      <w:pPr>
        <w:spacing w:after="0" w:line="84" w:lineRule="exact"/>
        <w:rPr>
          <w:sz w:val="20"/>
          <w:szCs w:val="20"/>
          <w:color w:val="auto"/>
        </w:rPr>
      </w:pPr>
    </w:p>
    <w:p>
      <w:pPr>
        <w:ind w:right="1800"/>
        <w:spacing w:after="0" w:line="258"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Exchange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As of June 30, 2025, the last business day of the registrant’s most recently completed second fiscal quarter, the aggregate market value of the registrant’s common stock held by non-affiliates of the registrant was approximately $113,753,969 based on a closing price of $2.48 per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As of March 11, 2026, the registrant had 57,288,750 shares of common stock, $0.0001 par value per share, outstanding.</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Documents Incorporated by Reference</w:t>
      </w:r>
    </w:p>
    <w:p>
      <w:pPr>
        <w:spacing w:after="0" w:line="257"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Part III of this Annual Report on Form 10-K (Annual Report) incorporates by reference certain information from the definitive Proxy Statement for the registrant’s 2026 Annual Meeting of Stockholders (Proxy Statement), which the registrant intends to file pursuant to Regulation 14A with the Securities and Exchange Commission (SEC) not later than 120 days after the registrant’s fiscal year ended December 31, 2025. Except with respect to information specifically incorporated by reference, the Proxy Statement is not deemed to be filed as part of this Annual Report.</w:t>
      </w:r>
    </w:p>
    <w:p>
      <w:pPr>
        <w:sectPr>
          <w:pgSz w:w="11880" w:h="15480" w:orient="portrait"/>
          <w:cols w:equalWidth="0" w:num="1">
            <w:col w:w="10420"/>
          </w:cols>
          <w:pgMar w:left="720" w:top="658" w:right="740"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Summary of the Material and Other Risks Associated with Our Business</w:t>
      </w:r>
    </w:p>
    <w:p>
      <w:pPr>
        <w:spacing w:after="0" w:line="248" w:lineRule="exact"/>
        <w:rPr>
          <w:sz w:val="20"/>
          <w:szCs w:val="20"/>
          <w:color w:val="auto"/>
        </w:rPr>
      </w:pPr>
    </w:p>
    <w:p>
      <w:pPr>
        <w:ind w:right="380"/>
        <w:spacing w:after="0" w:line="258" w:lineRule="auto"/>
        <w:rPr>
          <w:sz w:val="20"/>
          <w:szCs w:val="20"/>
          <w:color w:val="auto"/>
        </w:rPr>
      </w:pPr>
      <w:r>
        <w:rPr>
          <w:rFonts w:ascii="Arial" w:cs="Arial" w:eastAsia="Arial" w:hAnsi="Arial"/>
          <w:sz w:val="22"/>
          <w:szCs w:val="22"/>
          <w:color w:val="auto"/>
        </w:rPr>
        <w:t>Our business is subject to numerous material and other risks and uncertainties that you should be aware of in evaluating our business, including those described in Part II, Item IA. “Risk Factors” in this Annual Report. These risks include, but are not limited to, the following:</w:t>
      </w:r>
    </w:p>
    <w:p>
      <w:pPr>
        <w:spacing w:after="0" w:line="78" w:lineRule="exact"/>
        <w:rPr>
          <w:sz w:val="20"/>
          <w:szCs w:val="20"/>
          <w:color w:val="auto"/>
        </w:rPr>
      </w:pPr>
    </w:p>
    <w:p>
      <w:pPr>
        <w:ind w:left="720" w:hanging="363"/>
        <w:spacing w:after="0" w:line="251"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are very early in our development efforts and are substantially dependent on our lead clinical-stage product candidate, silevertinib. If we are unable to advance silevertinib or any of our future product candidates through clinical development, obtain regulatory approval and ultimately commercialize silevertinib or any of our future product candidates, or if we experience significant delays in doing so, our business will be materially harmed.</w:t>
      </w:r>
    </w:p>
    <w:p>
      <w:pPr>
        <w:spacing w:after="0" w:line="88" w:lineRule="exact"/>
        <w:rPr>
          <w:rFonts w:ascii="Arial" w:cs="Arial" w:eastAsia="Arial" w:hAnsi="Arial"/>
          <w:sz w:val="22"/>
          <w:szCs w:val="22"/>
          <w:color w:val="auto"/>
        </w:rPr>
      </w:pPr>
    </w:p>
    <w:p>
      <w:pPr>
        <w:jc w:val="both"/>
        <w:ind w:left="720" w:right="60" w:hanging="363"/>
        <w:spacing w:after="0" w:line="258"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Difficulty in enrolling patients could delay or prevent clinical trials of our product candidates. We may find it difficult to enroll patients in our Phase 2 clinical trial for silevertinib in patients with newly diagnosed EGFR-altered glioblastoma (GBM) or our future product candidates.</w:t>
      </w:r>
    </w:p>
    <w:p>
      <w:pPr>
        <w:spacing w:after="0" w:line="77" w:lineRule="exact"/>
        <w:rPr>
          <w:rFonts w:ascii="Arial" w:cs="Arial" w:eastAsia="Arial" w:hAnsi="Arial"/>
          <w:sz w:val="22"/>
          <w:szCs w:val="22"/>
          <w:color w:val="auto"/>
        </w:rPr>
      </w:pPr>
    </w:p>
    <w:p>
      <w:pPr>
        <w:ind w:left="720" w:right="40" w:hanging="363"/>
        <w:spacing w:after="0" w:line="271"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clinical trials may fail to demonstrate adequately the safety and efficacy of any of our product candidates, which would prevent or delay regulatory approval and commercialization.</w:t>
      </w:r>
    </w:p>
    <w:p>
      <w:pPr>
        <w:spacing w:after="0" w:line="63" w:lineRule="exact"/>
        <w:rPr>
          <w:rFonts w:ascii="Arial" w:cs="Arial" w:eastAsia="Arial" w:hAnsi="Arial"/>
          <w:sz w:val="22"/>
          <w:szCs w:val="22"/>
          <w:color w:val="auto"/>
        </w:rPr>
      </w:pPr>
    </w:p>
    <w:p>
      <w:pPr>
        <w:ind w:left="720" w:right="420" w:hanging="363"/>
        <w:spacing w:after="0" w:line="296"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are focused on the development of precision medicines for patients with genetically defined cancers, which is a rapidly evolving area of science, and the approach we have taken to discover, and are taking to develop drugs is novel and may never lead to marketable products.</w:t>
      </w:r>
    </w:p>
    <w:p>
      <w:pPr>
        <w:spacing w:after="0" w:line="42" w:lineRule="exact"/>
        <w:rPr>
          <w:rFonts w:ascii="Arial" w:cs="Arial" w:eastAsia="Arial" w:hAnsi="Arial"/>
          <w:sz w:val="20"/>
          <w:szCs w:val="20"/>
          <w:color w:val="auto"/>
        </w:rPr>
      </w:pPr>
    </w:p>
    <w:p>
      <w:pPr>
        <w:ind w:left="720" w:right="220" w:hanging="363"/>
        <w:spacing w:after="0" w:line="296"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2" w:lineRule="exact"/>
        <w:rPr>
          <w:rFonts w:ascii="Arial" w:cs="Arial" w:eastAsia="Arial" w:hAnsi="Arial"/>
          <w:sz w:val="20"/>
          <w:szCs w:val="20"/>
          <w:color w:val="auto"/>
        </w:rPr>
      </w:pPr>
    </w:p>
    <w:p>
      <w:pPr>
        <w:ind w:left="720" w:right="40" w:hanging="363"/>
        <w:spacing w:after="0" w:line="271"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Business or economic disruptions or global health concerns could seriously harm our development efforts and increase our costs and expenses.</w:t>
      </w:r>
    </w:p>
    <w:p>
      <w:pPr>
        <w:spacing w:after="0" w:line="63" w:lineRule="exact"/>
        <w:rPr>
          <w:rFonts w:ascii="Arial" w:cs="Arial" w:eastAsia="Arial" w:hAnsi="Arial"/>
          <w:sz w:val="22"/>
          <w:szCs w:val="22"/>
          <w:color w:val="auto"/>
        </w:rPr>
      </w:pPr>
    </w:p>
    <w:p>
      <w:pPr>
        <w:ind w:left="720" w:right="80" w:hanging="363"/>
        <w:spacing w:after="0" w:line="271"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limited operating history may make it difficult for you to evaluate the success of our business to date and to assess our future viability.</w:t>
      </w:r>
    </w:p>
    <w:p>
      <w:pPr>
        <w:spacing w:after="0" w:line="63" w:lineRule="exact"/>
        <w:rPr>
          <w:rFonts w:ascii="Arial" w:cs="Arial" w:eastAsia="Arial" w:hAnsi="Arial"/>
          <w:sz w:val="22"/>
          <w:szCs w:val="22"/>
          <w:color w:val="auto"/>
        </w:rPr>
      </w:pPr>
    </w:p>
    <w:p>
      <w:pPr>
        <w:ind w:left="720" w:right="120" w:hanging="363"/>
        <w:spacing w:after="0" w:line="271"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have incurred significant losses since inception, and we expect to incur losses over the next several years and may not be able to achieve or sustain revenues or profitability in the future.</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have not generated any revenue from our product candidates and may never be profitable.</w:t>
      </w:r>
    </w:p>
    <w:p>
      <w:pPr>
        <w:spacing w:after="0" w:line="123" w:lineRule="exact"/>
        <w:rPr>
          <w:rFonts w:ascii="Arial" w:cs="Arial" w:eastAsia="Arial" w:hAnsi="Arial"/>
          <w:sz w:val="22"/>
          <w:szCs w:val="22"/>
          <w:color w:val="auto"/>
        </w:rPr>
      </w:pPr>
    </w:p>
    <w:p>
      <w:pPr>
        <w:ind w:left="720" w:right="460" w:hanging="363"/>
        <w:spacing w:after="0" w:line="348" w:lineRule="auto"/>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 will need substantial additional funding. If we are unable to raise capital when needed, we would be compelled to delay, reduce or eliminate our product development programs or commercialization efforts.</w:t>
      </w:r>
    </w:p>
    <w:p>
      <w:pPr>
        <w:spacing w:after="0" w:line="1" w:lineRule="exact"/>
        <w:rPr>
          <w:rFonts w:ascii="Arial" w:cs="Arial" w:eastAsia="Arial" w:hAnsi="Arial"/>
          <w:sz w:val="19"/>
          <w:szCs w:val="19"/>
          <w:color w:val="auto"/>
        </w:rPr>
      </w:pPr>
    </w:p>
    <w:p>
      <w:pPr>
        <w:ind w:left="720" w:right="120" w:hanging="363"/>
        <w:spacing w:after="0" w:line="280"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If we or if any of our licensees are unable to obtain and maintain patent and other intellectual property protection for silevertinib, BDTX-4933, BDTX-4876, our MAP drug discovery engine and our other product candidates and technology, or any other product candidates or technology we may develop, or if the scope of intellectual property protection obtained is not sufficiently broad, our competitors could develop and commercialize products and technology similar or identical to ours, and our ability to commercialize silevertinib or any of our future product candidates or technology may be adversely affected.</w:t>
      </w:r>
    </w:p>
    <w:p>
      <w:pPr>
        <w:spacing w:after="0" w:line="60" w:lineRule="exact"/>
        <w:rPr>
          <w:rFonts w:ascii="Arial" w:cs="Arial" w:eastAsia="Arial" w:hAnsi="Arial"/>
          <w:sz w:val="20"/>
          <w:szCs w:val="20"/>
          <w:color w:val="auto"/>
        </w:rPr>
      </w:pPr>
    </w:p>
    <w:p>
      <w:pPr>
        <w:ind w:left="720" w:right="60" w:hanging="363"/>
        <w:spacing w:after="0" w:line="258"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rely on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77" w:lineRule="exact"/>
        <w:rPr>
          <w:rFonts w:ascii="Arial" w:cs="Arial" w:eastAsia="Arial" w:hAnsi="Arial"/>
          <w:sz w:val="22"/>
          <w:szCs w:val="22"/>
          <w:color w:val="auto"/>
        </w:rPr>
      </w:pPr>
    </w:p>
    <w:p>
      <w:pPr>
        <w:ind w:left="720" w:right="20" w:hanging="363"/>
        <w:spacing w:after="0" w:line="258"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have entered into a license agreement and may form or seek further collaborations or strategic alliances or enter into additional licensing arrangements in the future, and we may not realize the benefits of such collaborations, alliances or licensing arrangements.</w:t>
      </w:r>
    </w:p>
    <w:p>
      <w:pPr>
        <w:spacing w:after="0" w:line="77" w:lineRule="exact"/>
        <w:rPr>
          <w:rFonts w:ascii="Arial" w:cs="Arial" w:eastAsia="Arial" w:hAnsi="Arial"/>
          <w:sz w:val="22"/>
          <w:szCs w:val="22"/>
          <w:color w:val="auto"/>
        </w:rPr>
      </w:pPr>
    </w:p>
    <w:p>
      <w:pPr>
        <w:ind w:left="720" w:right="480" w:hanging="363"/>
        <w:spacing w:after="0" w:line="322"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are highly dependent on our key personnel. If we are not successful in attracting and retaining highly qualified personnel, we may not be able to successfully implement our business strategy.</w:t>
      </w:r>
    </w:p>
    <w:p>
      <w:pPr>
        <w:spacing w:after="0" w:line="17" w:lineRule="exact"/>
        <w:rPr>
          <w:rFonts w:ascii="Arial" w:cs="Arial" w:eastAsia="Arial" w:hAnsi="Arial"/>
          <w:sz w:val="20"/>
          <w:szCs w:val="20"/>
          <w:color w:val="auto"/>
        </w:rPr>
      </w:pPr>
    </w:p>
    <w:p>
      <w:pPr>
        <w:ind w:left="720" w:hanging="363"/>
        <w:spacing w:after="0"/>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price of our stock is volatile, and you could lose all or part of your investment.</w:t>
      </w:r>
    </w:p>
    <w:p>
      <w:pPr>
        <w:sectPr>
          <w:pgSz w:w="11880" w:h="15480" w:orient="portrait"/>
          <w:cols w:equalWidth="0" w:num="1">
            <w:col w:w="10240"/>
          </w:cols>
          <w:pgMar w:left="820" w:top="670" w:right="820" w:bottom="860" w:gutter="0" w:footer="0" w:header="0"/>
        </w:sectPr>
      </w:pPr>
    </w:p>
    <w:bookmarkStart w:id="5" w:name="page6"/>
    <w:bookmarkEnd w:id="5"/>
    <w:p>
      <w:pPr>
        <w:ind w:left="720" w:right="40" w:hanging="363"/>
        <w:spacing w:after="0" w:line="271" w:lineRule="auto"/>
        <w:tabs>
          <w:tab w:leader="none" w:pos="720" w:val="left"/>
        </w:tabs>
        <w:numPr>
          <w:ilvl w:val="0"/>
          <w:numId w:val="4"/>
        </w:numPr>
        <w:rPr>
          <w:rFonts w:ascii="Arial" w:cs="Arial" w:eastAsia="Arial" w:hAnsi="Arial"/>
          <w:sz w:val="22"/>
          <w:szCs w:val="22"/>
          <w:color w:val="auto"/>
        </w:rPr>
      </w:pPr>
      <w:r>
        <w:rPr>
          <w:rFonts w:ascii="Arial" w:cs="Arial" w:eastAsia="Arial" w:hAnsi="Arial"/>
          <w:sz w:val="22"/>
          <w:szCs w:val="22"/>
          <w:color w:val="auto"/>
        </w:rPr>
        <w:t>Data collection is governed by restrictive regulations governing the use, processing and cross-border transfer of personal information.</w:t>
      </w:r>
    </w:p>
    <w:p>
      <w:pPr>
        <w:spacing w:after="0" w:line="63" w:lineRule="exact"/>
        <w:rPr>
          <w:rFonts w:ascii="Arial" w:cs="Arial" w:eastAsia="Arial" w:hAnsi="Arial"/>
          <w:sz w:val="22"/>
          <w:szCs w:val="22"/>
          <w:color w:val="auto"/>
        </w:rPr>
      </w:pPr>
    </w:p>
    <w:p>
      <w:pPr>
        <w:ind w:left="720" w:right="80" w:hanging="363"/>
        <w:spacing w:after="0" w:line="271" w:lineRule="auto"/>
        <w:tabs>
          <w:tab w:leader="none" w:pos="7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to patent law in the United States and in foreign jurisdictions could diminish the value of patents in general, thereby impairing our ability to protect our products.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tax law could adversely affect our business and financial condition.</w:t>
      </w:r>
    </w:p>
    <w:p>
      <w:pPr>
        <w:spacing w:after="0" w:line="123" w:lineRule="exact"/>
        <w:rPr>
          <w:rFonts w:ascii="Arial" w:cs="Arial" w:eastAsia="Arial" w:hAnsi="Arial"/>
          <w:sz w:val="22"/>
          <w:szCs w:val="22"/>
          <w:color w:val="auto"/>
        </w:rPr>
      </w:pPr>
    </w:p>
    <w:p>
      <w:pPr>
        <w:ind w:left="720" w:right="440" w:hanging="363"/>
        <w:spacing w:after="0" w:line="348" w:lineRule="auto"/>
        <w:tabs>
          <w:tab w:leader="none" w:pos="7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the United States and some foreign jurisdictions, there have been and may continue to be a number of legislative and regulatory changes and proposed changes regarding the healthcare system.</w:t>
      </w:r>
    </w:p>
    <w:p>
      <w:pPr>
        <w:spacing w:after="0" w:line="1" w:lineRule="exact"/>
        <w:rPr>
          <w:rFonts w:ascii="Arial" w:cs="Arial" w:eastAsia="Arial" w:hAnsi="Arial"/>
          <w:sz w:val="19"/>
          <w:szCs w:val="19"/>
          <w:color w:val="auto"/>
        </w:rPr>
      </w:pPr>
    </w:p>
    <w:p>
      <w:pPr>
        <w:ind w:left="720" w:right="40" w:hanging="363"/>
        <w:spacing w:after="0" w:line="296"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may be unable to adequately protect our information systems from cyberattacks, cybersecurity incidents, or compromises, which could result in the disclosure of confidential or proprietary information, including personal data, damage our reputation, and subject us to significant financial and legal exposure.</w:t>
      </w:r>
    </w:p>
    <w:p>
      <w:pPr>
        <w:spacing w:after="0" w:line="160"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 xml:space="preserve">The material and other risks summarized above should be read together with the text of the full risk factors discussed in the section entitled </w:t>
      </w:r>
      <w:r>
        <w:rPr>
          <w:rFonts w:ascii="Arial" w:cs="Arial" w:eastAsia="Arial" w:hAnsi="Arial"/>
          <w:sz w:val="19"/>
          <w:szCs w:val="19"/>
          <w:b w:val="1"/>
          <w:bCs w:val="1"/>
          <w:i w:val="1"/>
          <w:iCs w:val="1"/>
          <w:color w:val="auto"/>
        </w:rPr>
        <w:t>“Risk Factors”</w:t>
      </w:r>
      <w:r>
        <w:rPr>
          <w:rFonts w:ascii="Arial" w:cs="Arial" w:eastAsia="Arial" w:hAnsi="Arial"/>
          <w:sz w:val="19"/>
          <w:szCs w:val="19"/>
          <w:color w:val="auto"/>
        </w:rPr>
        <w:t xml:space="preserve"> and the other information set forth in this Annual Report, including our consolidated financial statements and the related notes, as well as in other documents that we file with the Securities and Exchange Commission. If any such material and other risks and uncertainties actually occur, our business, prospects, financial condition and results of operations could be materially and adversely affected. The risks summarized above or described in full elsewhere in this Annual Report are not the only risks that we face. Additional risks and uncertainties not currently known to us, or that we currently deem to be immaterial may also materially adversely affect our business, prospects, financial condition and results of operations.</w:t>
      </w:r>
    </w:p>
    <w:p>
      <w:pPr>
        <w:sectPr>
          <w:pgSz w:w="11880" w:h="15480" w:orient="portrait"/>
          <w:cols w:equalWidth="0" w:num="1">
            <w:col w:w="10140"/>
          </w:cols>
          <w:pgMar w:left="820" w:top="678" w:right="920"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284"/>
        </w:trPr>
        <w:tc>
          <w:tcPr>
            <w:tcW w:w="9480" w:type="dxa"/>
            <w:vAlign w:val="bottom"/>
          </w:tcPr>
          <w:p>
            <w:pPr>
              <w:ind w:left="2960"/>
              <w:spacing w:after="0"/>
              <w:rPr>
                <w:sz w:val="20"/>
                <w:szCs w:val="20"/>
                <w:color w:val="auto"/>
              </w:rPr>
            </w:pPr>
            <w:r>
              <w:rPr>
                <w:rFonts w:ascii="Arial" w:cs="Arial" w:eastAsia="Arial" w:hAnsi="Arial"/>
                <w:sz w:val="22"/>
                <w:szCs w:val="22"/>
                <w:b w:val="1"/>
                <w:bCs w:val="1"/>
                <w:color w:val="auto"/>
              </w:rPr>
              <w:t>BLACK DIAMOND THERAPEUTICS, INC.</w:t>
            </w:r>
          </w:p>
        </w:tc>
        <w:tc>
          <w:tcPr>
            <w:tcW w:w="700" w:type="dxa"/>
            <w:vAlign w:val="bottom"/>
          </w:tcPr>
          <w:p>
            <w:pPr>
              <w:spacing w:after="0"/>
              <w:rPr>
                <w:sz w:val="24"/>
                <w:szCs w:val="24"/>
                <w:color w:val="auto"/>
              </w:rPr>
            </w:pPr>
          </w:p>
        </w:tc>
      </w:tr>
      <w:tr>
        <w:trPr>
          <w:trHeight w:val="494"/>
        </w:trPr>
        <w:tc>
          <w:tcPr>
            <w:tcW w:w="9480" w:type="dxa"/>
            <w:vAlign w:val="bottom"/>
          </w:tcPr>
          <w:p>
            <w:pPr>
              <w:ind w:left="3900"/>
              <w:spacing w:after="0"/>
              <w:rPr>
                <w:sz w:val="20"/>
                <w:szCs w:val="20"/>
                <w:color w:val="auto"/>
              </w:rPr>
            </w:pPr>
            <w:r>
              <w:rPr>
                <w:rFonts w:ascii="Arial" w:cs="Arial" w:eastAsia="Arial" w:hAnsi="Arial"/>
                <w:sz w:val="22"/>
                <w:szCs w:val="22"/>
                <w:b w:val="1"/>
                <w:bCs w:val="1"/>
                <w:color w:val="auto"/>
              </w:rPr>
              <w:t>TABLE OF CONTENTS</w:t>
            </w:r>
          </w:p>
        </w:tc>
        <w:tc>
          <w:tcPr>
            <w:tcW w:w="700" w:type="dxa"/>
            <w:vAlign w:val="bottom"/>
          </w:tcPr>
          <w:p>
            <w:pPr>
              <w:spacing w:after="0"/>
              <w:rPr>
                <w:sz w:val="24"/>
                <w:szCs w:val="24"/>
                <w:color w:val="auto"/>
              </w:rPr>
            </w:pPr>
          </w:p>
        </w:tc>
      </w:tr>
      <w:tr>
        <w:trPr>
          <w:trHeight w:val="377"/>
        </w:trPr>
        <w:tc>
          <w:tcPr>
            <w:tcW w:w="948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Page</w:t>
            </w:r>
          </w:p>
        </w:tc>
      </w:tr>
      <w:tr>
        <w:trPr>
          <w:trHeight w:val="316"/>
        </w:trPr>
        <w:tc>
          <w:tcPr>
            <w:tcW w:w="9480" w:type="dxa"/>
            <w:vAlign w:val="bottom"/>
          </w:tcPr>
          <w:p>
            <w:pPr>
              <w:jc w:val="center"/>
              <w:spacing w:after="0"/>
              <w:rPr>
                <w:sz w:val="20"/>
                <w:szCs w:val="20"/>
                <w:color w:val="auto"/>
              </w:rPr>
            </w:pPr>
            <w:r>
              <w:rPr>
                <w:rFonts w:ascii="Arial" w:cs="Arial" w:eastAsia="Arial" w:hAnsi="Arial"/>
                <w:sz w:val="22"/>
                <w:szCs w:val="22"/>
                <w:color w:val="auto"/>
                <w:w w:val="95"/>
              </w:rPr>
              <w:t>PART I</w:t>
            </w:r>
          </w:p>
        </w:tc>
        <w:tc>
          <w:tcPr>
            <w:tcW w:w="7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 Business</w:t>
            </w:r>
          </w:p>
        </w:tc>
        <w:tc>
          <w:tcPr>
            <w:tcW w:w="7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1A. Risk Factors</w:t>
            </w:r>
          </w:p>
        </w:tc>
        <w:tc>
          <w:tcPr>
            <w:tcW w:w="70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1B. Unresolved Staff Comments</w:t>
            </w:r>
          </w:p>
        </w:tc>
        <w:tc>
          <w:tcPr>
            <w:tcW w:w="70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1C. Cybersecurity</w:t>
            </w:r>
          </w:p>
        </w:tc>
        <w:tc>
          <w:tcPr>
            <w:tcW w:w="70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2. Properties</w:t>
            </w:r>
          </w:p>
        </w:tc>
        <w:tc>
          <w:tcPr>
            <w:tcW w:w="70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3. Legal Proceedings</w:t>
            </w:r>
          </w:p>
        </w:tc>
        <w:tc>
          <w:tcPr>
            <w:tcW w:w="70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4. Mine Safety Disclosures</w:t>
            </w:r>
          </w:p>
        </w:tc>
        <w:tc>
          <w:tcPr>
            <w:tcW w:w="70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38"/>
        </w:trPr>
        <w:tc>
          <w:tcPr>
            <w:tcW w:w="9480" w:type="dxa"/>
            <w:vAlign w:val="bottom"/>
          </w:tcPr>
          <w:p>
            <w:pPr>
              <w:jc w:val="center"/>
              <w:spacing w:after="0"/>
              <w:rPr>
                <w:sz w:val="20"/>
                <w:szCs w:val="20"/>
                <w:color w:val="auto"/>
              </w:rPr>
            </w:pPr>
            <w:r>
              <w:rPr>
                <w:rFonts w:ascii="Arial" w:cs="Arial" w:eastAsia="Arial" w:hAnsi="Arial"/>
                <w:sz w:val="22"/>
                <w:szCs w:val="22"/>
                <w:color w:val="auto"/>
                <w:w w:val="96"/>
              </w:rPr>
              <w:t>PART II</w:t>
            </w:r>
          </w:p>
        </w:tc>
        <w:tc>
          <w:tcPr>
            <w:tcW w:w="70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347"/>
        </w:trPr>
        <w:tc>
          <w:tcPr>
            <w:tcW w:w="9480" w:type="dxa"/>
            <w:vAlign w:val="bottom"/>
          </w:tcPr>
          <w:p>
            <w:pPr>
              <w:spacing w:after="0"/>
              <w:rPr>
                <w:sz w:val="20"/>
                <w:szCs w:val="20"/>
                <w:color w:val="auto"/>
              </w:rPr>
            </w:pPr>
            <w:r>
              <w:rPr>
                <w:rFonts w:ascii="Arial" w:cs="Arial" w:eastAsia="Arial" w:hAnsi="Arial"/>
                <w:sz w:val="22"/>
                <w:szCs w:val="22"/>
                <w:color w:val="auto"/>
                <w:w w:val="95"/>
              </w:rPr>
              <w:t>Item 5. Market for Registrant’s Common Equity, Related Stockholder Matters and Issuer Purchases of</w:t>
            </w:r>
          </w:p>
        </w:tc>
        <w:tc>
          <w:tcPr>
            <w:tcW w:w="700" w:type="dxa"/>
            <w:vAlign w:val="bottom"/>
          </w:tcPr>
          <w:p>
            <w:pPr>
              <w:spacing w:after="0"/>
              <w:rPr>
                <w:sz w:val="24"/>
                <w:szCs w:val="24"/>
                <w:color w:val="auto"/>
              </w:rPr>
            </w:pPr>
          </w:p>
        </w:tc>
      </w:tr>
      <w:tr>
        <w:trPr>
          <w:trHeight w:val="300"/>
        </w:trPr>
        <w:tc>
          <w:tcPr>
            <w:tcW w:w="9480" w:type="dxa"/>
            <w:vAlign w:val="bottom"/>
          </w:tcPr>
          <w:p>
            <w:pPr>
              <w:spacing w:after="0"/>
              <w:rPr>
                <w:sz w:val="20"/>
                <w:szCs w:val="20"/>
                <w:color w:val="auto"/>
              </w:rPr>
            </w:pPr>
            <w:r>
              <w:rPr>
                <w:rFonts w:ascii="Arial" w:cs="Arial" w:eastAsia="Arial" w:hAnsi="Arial"/>
                <w:sz w:val="22"/>
                <w:szCs w:val="22"/>
                <w:color w:val="auto"/>
              </w:rPr>
              <w:t>Equity Securities</w:t>
            </w:r>
          </w:p>
        </w:tc>
        <w:tc>
          <w:tcPr>
            <w:tcW w:w="70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6. Reserved</w:t>
            </w:r>
          </w:p>
        </w:tc>
        <w:tc>
          <w:tcPr>
            <w:tcW w:w="70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7. 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7A. 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8. Financial Statements and Supplementary Data</w:t>
            </w:r>
          </w:p>
        </w:tc>
        <w:tc>
          <w:tcPr>
            <w:tcW w:w="70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9. 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9A. Controls and Procedures</w:t>
            </w:r>
          </w:p>
        </w:tc>
        <w:tc>
          <w:tcPr>
            <w:tcW w:w="700" w:type="dxa"/>
            <w:vAlign w:val="bottom"/>
          </w:tcPr>
          <w:p>
            <w:pPr>
              <w:jc w:val="right"/>
              <w:spacing w:after="0"/>
              <w:rPr>
                <w:sz w:val="20"/>
                <w:szCs w:val="20"/>
                <w:color w:val="auto"/>
              </w:rPr>
            </w:pPr>
            <w:r>
              <w:rPr>
                <w:rFonts w:ascii="Arial" w:cs="Arial" w:eastAsia="Arial" w:hAnsi="Arial"/>
                <w:sz w:val="22"/>
                <w:szCs w:val="22"/>
                <w:color w:val="auto"/>
              </w:rPr>
              <w:t>161</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9B. Other Information</w:t>
            </w:r>
          </w:p>
        </w:tc>
        <w:tc>
          <w:tcPr>
            <w:tcW w:w="700" w:type="dxa"/>
            <w:vAlign w:val="bottom"/>
          </w:tcPr>
          <w:p>
            <w:pPr>
              <w:jc w:val="right"/>
              <w:spacing w:after="0"/>
              <w:rPr>
                <w:sz w:val="20"/>
                <w:szCs w:val="20"/>
                <w:color w:val="auto"/>
              </w:rPr>
            </w:pPr>
            <w:r>
              <w:rPr>
                <w:rFonts w:ascii="Arial" w:cs="Arial" w:eastAsia="Arial" w:hAnsi="Arial"/>
                <w:sz w:val="22"/>
                <w:szCs w:val="22"/>
                <w:color w:val="auto"/>
              </w:rPr>
              <w:t>162</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9C. 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22"/>
                <w:szCs w:val="22"/>
                <w:color w:val="auto"/>
              </w:rPr>
              <w:t>162</w:t>
            </w:r>
          </w:p>
        </w:tc>
      </w:tr>
      <w:tr>
        <w:trPr>
          <w:trHeight w:val="338"/>
        </w:trPr>
        <w:tc>
          <w:tcPr>
            <w:tcW w:w="9480" w:type="dxa"/>
            <w:vAlign w:val="bottom"/>
          </w:tcPr>
          <w:p>
            <w:pPr>
              <w:jc w:val="center"/>
              <w:spacing w:after="0"/>
              <w:rPr>
                <w:sz w:val="20"/>
                <w:szCs w:val="20"/>
                <w:color w:val="auto"/>
              </w:rPr>
            </w:pPr>
            <w:r>
              <w:rPr>
                <w:rFonts w:ascii="Arial" w:cs="Arial" w:eastAsia="Arial" w:hAnsi="Arial"/>
                <w:sz w:val="22"/>
                <w:szCs w:val="22"/>
                <w:color w:val="auto"/>
                <w:w w:val="98"/>
              </w:rPr>
              <w:t>PART III</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10. 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11. Executive Compensation</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299"/>
        </w:trPr>
        <w:tc>
          <w:tcPr>
            <w:tcW w:w="9480" w:type="dxa"/>
            <w:vAlign w:val="bottom"/>
          </w:tcPr>
          <w:p>
            <w:pPr>
              <w:spacing w:after="0"/>
              <w:rPr>
                <w:sz w:val="20"/>
                <w:szCs w:val="20"/>
                <w:color w:val="auto"/>
              </w:rPr>
            </w:pPr>
            <w:r>
              <w:rPr>
                <w:rFonts w:ascii="Arial" w:cs="Arial" w:eastAsia="Arial" w:hAnsi="Arial"/>
                <w:sz w:val="22"/>
                <w:szCs w:val="22"/>
                <w:color w:val="auto"/>
                <w:w w:val="95"/>
              </w:rPr>
              <w:t>Item 12. Security Ownership of Certain Beneficial Owners and Management and Related Stockholder</w:t>
            </w:r>
          </w:p>
        </w:tc>
        <w:tc>
          <w:tcPr>
            <w:tcW w:w="700" w:type="dxa"/>
            <w:vAlign w:val="bottom"/>
          </w:tcPr>
          <w:p>
            <w:pPr>
              <w:spacing w:after="0"/>
              <w:rPr>
                <w:sz w:val="24"/>
                <w:szCs w:val="24"/>
                <w:color w:val="auto"/>
              </w:rPr>
            </w:pPr>
          </w:p>
        </w:tc>
      </w:tr>
      <w:tr>
        <w:trPr>
          <w:trHeight w:val="348"/>
        </w:trPr>
        <w:tc>
          <w:tcPr>
            <w:tcW w:w="9480" w:type="dxa"/>
            <w:vAlign w:val="bottom"/>
          </w:tcPr>
          <w:p>
            <w:pPr>
              <w:spacing w:after="0"/>
              <w:rPr>
                <w:sz w:val="20"/>
                <w:szCs w:val="20"/>
                <w:color w:val="auto"/>
              </w:rPr>
            </w:pPr>
            <w:r>
              <w:rPr>
                <w:rFonts w:ascii="Arial" w:cs="Arial" w:eastAsia="Arial" w:hAnsi="Arial"/>
                <w:sz w:val="22"/>
                <w:szCs w:val="22"/>
                <w:color w:val="auto"/>
              </w:rPr>
              <w:t>Matters</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13. Certain Relationships and Related Transactions and Director Independence</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14. Principal Accountant Fees and Services</w:t>
            </w:r>
          </w:p>
        </w:tc>
        <w:tc>
          <w:tcPr>
            <w:tcW w:w="70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338"/>
        </w:trPr>
        <w:tc>
          <w:tcPr>
            <w:tcW w:w="9480" w:type="dxa"/>
            <w:vAlign w:val="bottom"/>
          </w:tcPr>
          <w:p>
            <w:pPr>
              <w:jc w:val="center"/>
              <w:spacing w:after="0"/>
              <w:rPr>
                <w:sz w:val="20"/>
                <w:szCs w:val="20"/>
                <w:color w:val="auto"/>
              </w:rPr>
            </w:pPr>
            <w:r>
              <w:rPr>
                <w:rFonts w:ascii="Arial" w:cs="Arial" w:eastAsia="Arial" w:hAnsi="Arial"/>
                <w:sz w:val="22"/>
                <w:szCs w:val="22"/>
                <w:color w:val="auto"/>
                <w:w w:val="98"/>
              </w:rPr>
              <w:t>PART IV</w:t>
            </w:r>
          </w:p>
        </w:tc>
        <w:tc>
          <w:tcPr>
            <w:tcW w:w="700" w:type="dxa"/>
            <w:vAlign w:val="bottom"/>
          </w:tcPr>
          <w:p>
            <w:pPr>
              <w:jc w:val="right"/>
              <w:spacing w:after="0"/>
              <w:rPr>
                <w:sz w:val="20"/>
                <w:szCs w:val="20"/>
                <w:color w:val="auto"/>
              </w:rPr>
            </w:pPr>
            <w:r>
              <w:rPr>
                <w:rFonts w:ascii="Arial" w:cs="Arial" w:eastAsia="Arial" w:hAnsi="Arial"/>
                <w:sz w:val="22"/>
                <w:szCs w:val="22"/>
                <w:color w:val="auto"/>
              </w:rPr>
              <w:t>164</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15. Exhibits and Financial Statement Schedules</w:t>
            </w:r>
          </w:p>
        </w:tc>
        <w:tc>
          <w:tcPr>
            <w:tcW w:w="700" w:type="dxa"/>
            <w:vAlign w:val="bottom"/>
          </w:tcPr>
          <w:p>
            <w:pPr>
              <w:jc w:val="right"/>
              <w:spacing w:after="0"/>
              <w:rPr>
                <w:sz w:val="20"/>
                <w:szCs w:val="20"/>
                <w:color w:val="auto"/>
              </w:rPr>
            </w:pPr>
            <w:r>
              <w:rPr>
                <w:rFonts w:ascii="Arial" w:cs="Arial" w:eastAsia="Arial" w:hAnsi="Arial"/>
                <w:sz w:val="22"/>
                <w:szCs w:val="22"/>
                <w:color w:val="auto"/>
              </w:rPr>
              <w:t>164</w:t>
            </w:r>
          </w:p>
        </w:tc>
      </w:tr>
      <w:tr>
        <w:trPr>
          <w:trHeight w:val="338"/>
        </w:trPr>
        <w:tc>
          <w:tcPr>
            <w:tcW w:w="9480" w:type="dxa"/>
            <w:vAlign w:val="bottom"/>
          </w:tcPr>
          <w:p>
            <w:pPr>
              <w:spacing w:after="0"/>
              <w:rPr>
                <w:sz w:val="20"/>
                <w:szCs w:val="20"/>
                <w:color w:val="auto"/>
              </w:rPr>
            </w:pPr>
            <w:r>
              <w:rPr>
                <w:rFonts w:ascii="Arial" w:cs="Arial" w:eastAsia="Arial" w:hAnsi="Arial"/>
                <w:sz w:val="22"/>
                <w:szCs w:val="22"/>
                <w:color w:val="auto"/>
              </w:rPr>
              <w:t>Item 16. Form 10-K Summary</w:t>
            </w:r>
          </w:p>
        </w:tc>
        <w:tc>
          <w:tcPr>
            <w:tcW w:w="700" w:type="dxa"/>
            <w:vAlign w:val="bottom"/>
          </w:tcPr>
          <w:p>
            <w:pPr>
              <w:jc w:val="right"/>
              <w:spacing w:after="0"/>
              <w:rPr>
                <w:sz w:val="20"/>
                <w:szCs w:val="20"/>
                <w:color w:val="auto"/>
              </w:rPr>
            </w:pPr>
            <w:r>
              <w:rPr>
                <w:rFonts w:ascii="Arial" w:cs="Arial" w:eastAsia="Arial" w:hAnsi="Arial"/>
                <w:sz w:val="22"/>
                <w:szCs w:val="22"/>
                <w:color w:val="auto"/>
              </w:rPr>
              <w:t>166</w:t>
            </w:r>
          </w:p>
        </w:tc>
      </w:tr>
    </w:tbl>
    <w:p>
      <w:pPr>
        <w:spacing w:after="0" w:line="200" w:lineRule="exact"/>
        <w:rPr>
          <w:sz w:val="20"/>
          <w:szCs w:val="20"/>
          <w:color w:val="auto"/>
        </w:rPr>
      </w:pPr>
    </w:p>
    <w:p>
      <w:pPr>
        <w:spacing w:after="0" w:line="255"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 xml:space="preserve">We have applied for various trademarks that we use in connection with the operation of our business. This Annual Report on Form 10-K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or </w:t>
      </w:r>
      <w:r>
        <w:rPr>
          <w:rFonts w:ascii="Arial" w:cs="Arial" w:eastAsia="Arial" w:hAnsi="Arial"/>
          <w:sz w:val="25"/>
          <w:szCs w:val="25"/>
          <w:color w:val="auto"/>
          <w:vertAlign w:val="superscript"/>
        </w:rPr>
        <w:t>SM</w:t>
      </w:r>
      <w:r>
        <w:rPr>
          <w:rFonts w:ascii="Arial" w:cs="Arial" w:eastAsia="Arial" w:hAnsi="Arial"/>
          <w:sz w:val="19"/>
          <w:szCs w:val="19"/>
          <w:color w:val="auto"/>
        </w:rPr>
        <w:t xml:space="preserve">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ectPr>
          <w:pgSz w:w="11880" w:h="15480" w:orient="portrait"/>
          <w:cols w:equalWidth="0" w:num="1">
            <w:col w:w="10240"/>
          </w:cols>
          <w:pgMar w:left="820" w:top="670" w:right="820" w:bottom="763" w:gutter="0" w:footer="0" w:header="0"/>
        </w:sectPr>
      </w:pPr>
    </w:p>
    <w:bookmarkStart w:id="7" w:name="page8"/>
    <w:bookmarkEnd w:id="7"/>
    <w:p>
      <w:pPr>
        <w:spacing w:after="0" w:line="280" w:lineRule="auto"/>
        <w:rPr>
          <w:sz w:val="20"/>
          <w:szCs w:val="20"/>
          <w:color w:val="auto"/>
        </w:rPr>
      </w:pPr>
      <w:r>
        <w:rPr>
          <w:rFonts w:ascii="Arial" w:cs="Arial" w:eastAsia="Arial" w:hAnsi="Arial"/>
          <w:sz w:val="20"/>
          <w:szCs w:val="20"/>
          <w:color w:val="auto"/>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48" w:lineRule="exact"/>
        <w:rPr>
          <w:sz w:val="20"/>
          <w:szCs w:val="20"/>
          <w:color w:val="auto"/>
        </w:rPr>
      </w:pPr>
    </w:p>
    <w:p>
      <w:pPr>
        <w:ind w:right="200"/>
        <w:spacing w:after="0" w:line="293" w:lineRule="auto"/>
        <w:rPr>
          <w:sz w:val="20"/>
          <w:szCs w:val="20"/>
          <w:color w:val="auto"/>
        </w:rPr>
      </w:pPr>
      <w:r>
        <w:rPr>
          <w:rFonts w:ascii="Arial" w:cs="Arial" w:eastAsia="Arial" w:hAnsi="Arial"/>
          <w:sz w:val="19"/>
          <w:szCs w:val="19"/>
          <w:color w:val="auto"/>
        </w:rPr>
        <w:t>This Annual Report contains forward-looking statements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Annual Report are forward-looking statements. In some cases, you can identify forward-looking statements by terminology such as “may”, “will”, “could”,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53" w:lineRule="exact"/>
        <w:rPr>
          <w:sz w:val="20"/>
          <w:szCs w:val="20"/>
          <w:color w:val="auto"/>
        </w:rPr>
      </w:pPr>
    </w:p>
    <w:p>
      <w:pPr>
        <w:ind w:left="720" w:right="240" w:hanging="363"/>
        <w:spacing w:after="0" w:line="258"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progress, timing and success of our clinical trials of silevertinib (formerly BDTX-1535) and any of our future product candidates, including the availability, timing and announcement of data and results of such trials;</w:t>
      </w:r>
    </w:p>
    <w:p>
      <w:pPr>
        <w:spacing w:after="0" w:line="77" w:lineRule="exact"/>
        <w:rPr>
          <w:rFonts w:ascii="Arial" w:cs="Arial" w:eastAsia="Arial" w:hAnsi="Arial"/>
          <w:sz w:val="22"/>
          <w:szCs w:val="22"/>
          <w:color w:val="auto"/>
        </w:rPr>
      </w:pPr>
    </w:p>
    <w:p>
      <w:pPr>
        <w:ind w:left="720" w:right="60" w:hanging="363"/>
        <w:spacing w:after="0" w:line="271"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obtain and maintain regulatory approval for silevertinib or any of our future product candidates that we may identify or develop;</w:t>
      </w:r>
    </w:p>
    <w:p>
      <w:pPr>
        <w:spacing w:after="0" w:line="63" w:lineRule="exact"/>
        <w:rPr>
          <w:rFonts w:ascii="Arial" w:cs="Arial" w:eastAsia="Arial" w:hAnsi="Arial"/>
          <w:sz w:val="22"/>
          <w:szCs w:val="22"/>
          <w:color w:val="auto"/>
        </w:rPr>
      </w:pPr>
    </w:p>
    <w:p>
      <w:pPr>
        <w:ind w:left="720" w:right="100" w:hanging="363"/>
        <w:spacing w:after="0" w:line="271"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scope, timing, progress and results of our clinical trials and investigational new drug (IND) applications, development efforts and other regulatory submissions;</w:t>
      </w:r>
    </w:p>
    <w:p>
      <w:pPr>
        <w:spacing w:after="0" w:line="63" w:lineRule="exact"/>
        <w:rPr>
          <w:rFonts w:ascii="Arial" w:cs="Arial" w:eastAsia="Arial" w:hAnsi="Arial"/>
          <w:sz w:val="22"/>
          <w:szCs w:val="22"/>
          <w:color w:val="auto"/>
        </w:rPr>
      </w:pPr>
    </w:p>
    <w:p>
      <w:pPr>
        <w:ind w:left="720" w:hanging="363"/>
        <w:spacing w:after="0" w:line="271"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effects of competition with respect to silevertinib or any of our other current or future product candidates, as well as innovations by current and future competitors in our industry;</w:t>
      </w:r>
    </w:p>
    <w:p>
      <w:pPr>
        <w:spacing w:after="0" w:line="63" w:lineRule="exact"/>
        <w:rPr>
          <w:rFonts w:ascii="Arial" w:cs="Arial" w:eastAsia="Arial" w:hAnsi="Arial"/>
          <w:sz w:val="22"/>
          <w:szCs w:val="22"/>
          <w:color w:val="auto"/>
        </w:rPr>
      </w:pPr>
    </w:p>
    <w:p>
      <w:pPr>
        <w:ind w:left="720" w:right="180" w:hanging="363"/>
        <w:spacing w:after="0" w:line="258"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evaluation of potential partnership opportunities to advance the pivotal development of silevertinib in a timely manner and to successfully execute and realize the intended and potential benefits of any such potential partnership;</w:t>
      </w:r>
    </w:p>
    <w:p>
      <w:pPr>
        <w:spacing w:after="0" w:line="77" w:lineRule="exact"/>
        <w:rPr>
          <w:rFonts w:ascii="Arial" w:cs="Arial" w:eastAsia="Arial" w:hAnsi="Arial"/>
          <w:sz w:val="22"/>
          <w:szCs w:val="22"/>
          <w:color w:val="auto"/>
        </w:rPr>
      </w:pPr>
    </w:p>
    <w:p>
      <w:pPr>
        <w:ind w:left="720" w:right="140" w:hanging="363"/>
        <w:spacing w:after="0" w:line="258"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partnership with Servier Pharmaceuticals LLC (Servier) and the intended and potential benefits thereof, including the receipt of potential development and commercial milestone payments, along with tiered royalties based on global net sales, if any;</w:t>
      </w:r>
    </w:p>
    <w:p>
      <w:pPr>
        <w:spacing w:after="0" w:line="77" w:lineRule="exact"/>
        <w:rPr>
          <w:rFonts w:ascii="Arial" w:cs="Arial" w:eastAsia="Arial" w:hAnsi="Arial"/>
          <w:sz w:val="22"/>
          <w:szCs w:val="22"/>
          <w:color w:val="auto"/>
        </w:rPr>
      </w:pPr>
    </w:p>
    <w:p>
      <w:pPr>
        <w:ind w:left="720" w:right="220" w:hanging="363"/>
        <w:spacing w:after="0" w:line="296"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Servier’s ability to develop and commercialize BDTX-4933, including the ongoing Phase 1 clinical trial of BDTX-4933, and the potential of BDTX-4933 to address the unmet medical need for patients with RAF/ RAS-mutant solid tumors, including non-small cell lung cancer (NSCLC);</w:t>
      </w:r>
    </w:p>
    <w:p>
      <w:pPr>
        <w:spacing w:after="0" w:line="42" w:lineRule="exact"/>
        <w:rPr>
          <w:rFonts w:ascii="Arial" w:cs="Arial" w:eastAsia="Arial" w:hAnsi="Arial"/>
          <w:sz w:val="20"/>
          <w:szCs w:val="20"/>
          <w:color w:val="auto"/>
        </w:rPr>
      </w:pPr>
    </w:p>
    <w:p>
      <w:pPr>
        <w:ind w:left="720" w:right="560" w:hanging="363"/>
        <w:spacing w:after="0" w:line="271" w:lineRule="auto"/>
        <w:tabs>
          <w:tab w:leader="none" w:pos="7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evaluation of strategic alternatives for BDTX-4876, including our ability to execute and realize the anticipated benefits of any strategic alternatives we may pursue;</w:t>
      </w:r>
    </w:p>
    <w:p>
      <w:pPr>
        <w:spacing w:after="0" w:line="85" w:lineRule="exact"/>
        <w:rPr>
          <w:rFonts w:ascii="Arial" w:cs="Arial" w:eastAsia="Arial" w:hAnsi="Arial"/>
          <w:sz w:val="22"/>
          <w:szCs w:val="22"/>
          <w:color w:val="auto"/>
        </w:rPr>
      </w:pPr>
    </w:p>
    <w:p>
      <w:pPr>
        <w:ind w:left="720" w:hanging="363"/>
        <w:spacing w:after="0"/>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21"/>
          <w:szCs w:val="21"/>
          <w:color w:val="auto"/>
        </w:rPr>
        <w:t>our ability to develop our current and future product candidates for the treatment of various cancers;</w:t>
      </w:r>
    </w:p>
    <w:p>
      <w:pPr>
        <w:spacing w:after="0" w:line="146" w:lineRule="exact"/>
        <w:rPr>
          <w:rFonts w:ascii="Arial" w:cs="Arial" w:eastAsia="Arial" w:hAnsi="Arial"/>
          <w:sz w:val="22"/>
          <w:szCs w:val="22"/>
          <w:b w:val="1"/>
          <w:bCs w:val="1"/>
          <w:color w:val="auto"/>
        </w:rPr>
      </w:pPr>
    </w:p>
    <w:p>
      <w:pPr>
        <w:ind w:left="720" w:right="160" w:hanging="363"/>
        <w:spacing w:after="0" w:line="271" w:lineRule="auto"/>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2"/>
          <w:szCs w:val="22"/>
          <w:color w:val="auto"/>
        </w:rPr>
        <w:t>the rate and degree of market acceptance and clinical utility for any current or future product candidates we may develop;</w:t>
      </w:r>
    </w:p>
    <w:p>
      <w:pPr>
        <w:spacing w:after="0" w:line="84" w:lineRule="exact"/>
        <w:rPr>
          <w:rFonts w:ascii="Arial" w:cs="Arial" w:eastAsia="Arial" w:hAnsi="Arial"/>
          <w:sz w:val="24"/>
          <w:szCs w:val="24"/>
          <w:b w:val="1"/>
          <w:bCs w:val="1"/>
          <w:color w:val="auto"/>
        </w:rPr>
      </w:pPr>
    </w:p>
    <w:p>
      <w:pPr>
        <w:ind w:left="720" w:hanging="363"/>
        <w:spacing w:after="0"/>
        <w:tabs>
          <w:tab w:leader="none" w:pos="720" w:val="left"/>
        </w:tabs>
        <w:numPr>
          <w:ilvl w:val="0"/>
          <w:numId w:val="5"/>
        </w:numPr>
        <w:rPr>
          <w:rFonts w:ascii="Arial" w:cs="Arial" w:eastAsia="Arial" w:hAnsi="Arial"/>
          <w:sz w:val="24"/>
          <w:szCs w:val="24"/>
          <w:b w:val="1"/>
          <w:bCs w:val="1"/>
          <w:color w:val="auto"/>
        </w:rPr>
      </w:pPr>
      <w:r>
        <w:rPr>
          <w:rFonts w:ascii="Arial" w:cs="Arial" w:eastAsia="Arial" w:hAnsi="Arial"/>
          <w:sz w:val="22"/>
          <w:szCs w:val="22"/>
          <w:color w:val="auto"/>
        </w:rPr>
        <w:t>the implementation of our strategic plans for our business and our product candidates;</w:t>
      </w:r>
    </w:p>
    <w:p>
      <w:pPr>
        <w:sectPr>
          <w:pgSz w:w="11880" w:h="15480" w:orient="portrait"/>
          <w:cols w:equalWidth="0" w:num="1">
            <w:col w:w="10140"/>
          </w:cols>
          <w:pgMar w:left="820" w:top="1172" w:right="920" w:bottom="1440" w:gutter="0" w:footer="0" w:header="0"/>
        </w:sectPr>
      </w:pPr>
    </w:p>
    <w:bookmarkStart w:id="8" w:name="page9"/>
    <w:bookmarkEnd w:id="8"/>
    <w:p>
      <w:pPr>
        <w:ind w:left="720" w:hanging="363"/>
        <w:spacing w:after="0" w:line="258" w:lineRule="auto"/>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intellectual property position, including the scope of protection we are able to establish, maintain and enforce for intellectual property rights covering our product candidates and Mutation-Allostery-Pharmacology (MAP) drug discovery engine;</w:t>
      </w:r>
    </w:p>
    <w:p>
      <w:pPr>
        <w:spacing w:after="0" w:line="77" w:lineRule="exact"/>
        <w:rPr>
          <w:rFonts w:ascii="Arial" w:cs="Arial" w:eastAsia="Arial" w:hAnsi="Arial"/>
          <w:sz w:val="22"/>
          <w:szCs w:val="22"/>
          <w:color w:val="auto"/>
        </w:rPr>
      </w:pPr>
    </w:p>
    <w:p>
      <w:pPr>
        <w:ind w:left="720" w:right="580" w:hanging="363"/>
        <w:spacing w:after="0" w:line="322"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obtain additional funding for our operations, when needed, including funding necessary to complete further development and commercialization of our product candidates, if approved;</w:t>
      </w:r>
    </w:p>
    <w:p>
      <w:pPr>
        <w:spacing w:after="0" w:line="17" w:lineRule="exact"/>
        <w:rPr>
          <w:rFonts w:ascii="Arial" w:cs="Arial" w:eastAsia="Arial" w:hAnsi="Arial"/>
          <w:sz w:val="20"/>
          <w:szCs w:val="20"/>
          <w:color w:val="auto"/>
        </w:rPr>
      </w:pPr>
    </w:p>
    <w:p>
      <w:pPr>
        <w:ind w:left="720" w:right="40" w:hanging="363"/>
        <w:spacing w:after="0" w:line="271" w:lineRule="auto"/>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period over which we expect our existing cash, cash equivalents and investments will be sufficient to fund our operating expenses and capital expenditure requirements;</w:t>
      </w:r>
    </w:p>
    <w:p>
      <w:pPr>
        <w:spacing w:after="0" w:line="63" w:lineRule="exact"/>
        <w:rPr>
          <w:rFonts w:ascii="Arial" w:cs="Arial" w:eastAsia="Arial" w:hAnsi="Arial"/>
          <w:sz w:val="22"/>
          <w:szCs w:val="22"/>
          <w:color w:val="auto"/>
        </w:rPr>
      </w:pPr>
    </w:p>
    <w:p>
      <w:pPr>
        <w:ind w:left="720" w:right="860" w:hanging="363"/>
        <w:spacing w:after="0" w:line="271" w:lineRule="auto"/>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accuracy of our estimates regarding expenses, future revenue, capital requirements and needs for additional financing;</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future financial performance and our ability to effectively manage our anticipated growth;</w:t>
      </w:r>
    </w:p>
    <w:p>
      <w:pPr>
        <w:spacing w:after="0" w:line="123" w:lineRule="exact"/>
        <w:rPr>
          <w:rFonts w:ascii="Arial" w:cs="Arial" w:eastAsia="Arial" w:hAnsi="Arial"/>
          <w:sz w:val="22"/>
          <w:szCs w:val="22"/>
          <w:color w:val="auto"/>
        </w:rPr>
      </w:pPr>
    </w:p>
    <w:p>
      <w:pPr>
        <w:ind w:left="720" w:right="680" w:hanging="363"/>
        <w:spacing w:after="0" w:line="322"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estimates regarding the market opportunities for our product candidates, including our competitive position and the success of competing therapies that are or may become available;</w:t>
      </w:r>
    </w:p>
    <w:p>
      <w:pPr>
        <w:spacing w:after="0" w:line="17" w:lineRule="exact"/>
        <w:rPr>
          <w:rFonts w:ascii="Arial" w:cs="Arial" w:eastAsia="Arial" w:hAnsi="Arial"/>
          <w:sz w:val="20"/>
          <w:szCs w:val="20"/>
          <w:color w:val="auto"/>
        </w:rPr>
      </w:pPr>
    </w:p>
    <w:p>
      <w:pPr>
        <w:ind w:left="720" w:right="240" w:hanging="363"/>
        <w:spacing w:after="0" w:line="271" w:lineRule="auto"/>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need for and ability to attract and retain key scientific, management and other personnel and to identify, hire and retain additional qualified professionals;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potential for our business development efforts to maximize the value of our product candidates;</w:t>
      </w:r>
    </w:p>
    <w:p>
      <w:pPr>
        <w:spacing w:after="0" w:line="146" w:lineRule="exact"/>
        <w:rPr>
          <w:rFonts w:ascii="Arial" w:cs="Arial" w:eastAsia="Arial" w:hAnsi="Arial"/>
          <w:sz w:val="20"/>
          <w:szCs w:val="20"/>
          <w:color w:val="auto"/>
        </w:rPr>
      </w:pPr>
    </w:p>
    <w:p>
      <w:pPr>
        <w:ind w:left="720" w:right="40" w:hanging="363"/>
        <w:spacing w:after="0" w:line="271" w:lineRule="auto"/>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size and growth potential of the markets for our product candidates, and our ability to serve those markets, either alone or in partnership with others;</w:t>
      </w:r>
    </w:p>
    <w:p>
      <w:pPr>
        <w:spacing w:after="0" w:line="63" w:lineRule="exact"/>
        <w:rPr>
          <w:rFonts w:ascii="Arial" w:cs="Arial" w:eastAsia="Arial" w:hAnsi="Arial"/>
          <w:sz w:val="22"/>
          <w:szCs w:val="22"/>
          <w:color w:val="auto"/>
        </w:rPr>
      </w:pPr>
    </w:p>
    <w:p>
      <w:pPr>
        <w:ind w:left="720" w:right="20" w:hanging="363"/>
        <w:spacing w:after="0" w:line="287"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ability to establish or maintain collaborations or strategic relationships, the ability and willingness of our third-party strategic collaborators to undertake research and development activities relating to our current or future product candidates, and the achievement of milestones or occurrence of other developments that trigger payments under any collaboration agreements, if any;</w:t>
      </w:r>
    </w:p>
    <w:p>
      <w:pPr>
        <w:spacing w:after="0" w:line="52" w:lineRule="exact"/>
        <w:rPr>
          <w:rFonts w:ascii="Arial" w:cs="Arial" w:eastAsia="Arial" w:hAnsi="Arial"/>
          <w:sz w:val="20"/>
          <w:szCs w:val="20"/>
          <w:color w:val="auto"/>
        </w:rPr>
      </w:pPr>
    </w:p>
    <w:p>
      <w:pPr>
        <w:ind w:left="720" w:hanging="363"/>
        <w:spacing w:after="0"/>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our ability to maintain an effective system of internal controls;</w:t>
      </w:r>
    </w:p>
    <w:p>
      <w:pPr>
        <w:spacing w:after="0" w:line="123" w:lineRule="exact"/>
        <w:rPr>
          <w:rFonts w:ascii="Arial" w:cs="Arial" w:eastAsia="Arial" w:hAnsi="Arial"/>
          <w:sz w:val="22"/>
          <w:szCs w:val="22"/>
          <w:color w:val="auto"/>
        </w:rPr>
      </w:pPr>
    </w:p>
    <w:p>
      <w:pPr>
        <w:ind w:left="720" w:right="40" w:hanging="363"/>
        <w:spacing w:after="0" w:line="278"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impact of macroeconomic and geopolitical developments on our business, including rising inflation and capital market disruptions, changes in or disruptions of U.S. governmental agencies, whether from a U.S. federal government shutdown or reduced resources, new or increased international tariffs and retaliatory tariffs, new laws and regulations or amendments to existing laws and regulations in the U.S. and foreign countries, trade protection measures, economic sanctions and economic slowdowns or recessions that may result from such developments which could harm our research and development efforts as well as the value of our common stock and our ability to access capital markets; and</w:t>
      </w:r>
    </w:p>
    <w:p>
      <w:pPr>
        <w:spacing w:after="0" w:line="63" w:lineRule="exact"/>
        <w:rPr>
          <w:rFonts w:ascii="Arial" w:cs="Arial" w:eastAsia="Arial" w:hAnsi="Arial"/>
          <w:sz w:val="20"/>
          <w:szCs w:val="20"/>
          <w:color w:val="auto"/>
        </w:rPr>
      </w:pPr>
    </w:p>
    <w:p>
      <w:pPr>
        <w:ind w:left="720" w:right="500" w:hanging="363"/>
        <w:spacing w:after="0" w:line="271" w:lineRule="auto"/>
        <w:tabs>
          <w:tab w:leader="none" w:pos="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other material risks and uncertainties, including those discussed in Part I, Item 1A, “Risk Factors” in this Annual Report.</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10240"/>
          </w:cols>
          <w:pgMar w:left="820" w:top="678" w:right="820" w:bottom="0" w:gutter="0" w:footer="0" w:header="0"/>
          <w:type w:val="continuous"/>
        </w:sectPr>
      </w:pPr>
    </w:p>
    <w:bookmarkStart w:id="9" w:name="page10"/>
    <w:bookmarkEnd w:id="9"/>
    <w:p>
      <w:pPr>
        <w:spacing w:after="0" w:line="273" w:lineRule="auto"/>
        <w:rPr>
          <w:sz w:val="20"/>
          <w:szCs w:val="20"/>
          <w:color w:val="auto"/>
        </w:rPr>
      </w:pPr>
      <w:r>
        <w:rPr>
          <w:rFonts w:ascii="Arial" w:cs="Arial" w:eastAsia="Arial" w:hAnsi="Arial"/>
          <w:sz w:val="20"/>
          <w:szCs w:val="20"/>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 could materially and adversely affect our business, prospects, financial condition and results of operations. Some of these risks and uncertainties may in the future be amplified by global health crises, macroeconomic conditions and geopolitical developments, and there may be additional risks that we consider immaterial or which are unknown. It is not possible to predict or identify all such risks.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92" w:lineRule="exact"/>
        <w:rPr>
          <w:sz w:val="20"/>
          <w:szCs w:val="20"/>
          <w:color w:val="auto"/>
        </w:rPr>
      </w:pPr>
    </w:p>
    <w:p>
      <w:pPr>
        <w:jc w:val="both"/>
        <w:ind w:right="220"/>
        <w:spacing w:after="0" w:line="254" w:lineRule="auto"/>
        <w:rPr>
          <w:sz w:val="20"/>
          <w:szCs w:val="20"/>
          <w:color w:val="auto"/>
        </w:rPr>
      </w:pPr>
      <w:r>
        <w:rPr>
          <w:rFonts w:ascii="Arial" w:cs="Arial" w:eastAsia="Arial" w:hAnsi="Arial"/>
          <w:sz w:val="22"/>
          <w:szCs w:val="22"/>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w:t>
      </w:r>
    </w:p>
    <w:p>
      <w:pPr>
        <w:spacing w:after="0" w:line="199"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10220"/>
          </w:cols>
          <w:pgMar w:left="820" w:top="678" w:right="840" w:bottom="0" w:gutter="0" w:footer="0" w:header="0"/>
          <w:type w:val="continuous"/>
        </w:sectPr>
      </w:pPr>
    </w:p>
    <w:bookmarkStart w:id="10" w:name="page11"/>
    <w:bookmarkEnd w:id="10"/>
    <w:p>
      <w:pPr>
        <w:ind w:left="4760"/>
        <w:spacing w:after="0"/>
        <w:rPr>
          <w:sz w:val="20"/>
          <w:szCs w:val="20"/>
          <w:color w:val="auto"/>
        </w:rPr>
      </w:pPr>
      <w:r>
        <w:rPr>
          <w:rFonts w:ascii="Arial" w:cs="Arial" w:eastAsia="Arial" w:hAnsi="Arial"/>
          <w:sz w:val="22"/>
          <w:szCs w:val="22"/>
          <w:b w:val="1"/>
          <w:bCs w:val="1"/>
          <w:color w:val="auto"/>
        </w:rPr>
        <w:t>PART I</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22"/>
          <w:szCs w:val="22"/>
          <w:b w:val="1"/>
          <w:bCs w:val="1"/>
          <w:i w:val="1"/>
          <w:iCs w:val="1"/>
          <w:color w:val="auto"/>
        </w:rPr>
        <w:t>Except where the context otherwise requires or where otherwise indicated, the terms “Black Diamond,” “Black Diamond Therapeutics,” “we,” “us,” “our,” “our company,” the “Company,” “we,” “us,” “our” and similar designations in this Annual Report to refer to Black Diamond Therapeutics, Inc. and, where appropriate, its subsidiary.</w:t>
      </w:r>
    </w:p>
    <w:p>
      <w:pPr>
        <w:sectPr>
          <w:pgSz w:w="11880" w:h="15480" w:orient="portrait"/>
          <w:cols w:equalWidth="0" w:num="1">
            <w:col w:w="9660"/>
          </w:cols>
          <w:pgMar w:left="820" w:top="67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660"/>
          </w:cols>
          <w:pgMar w:left="820" w:top="670" w:right="140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Item 1. Business</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We are a clinical-stage oncology company developing MasterKey therapies that target families of oncogenic mutations in patients with cancer. The foundation of our company is built upon a deep understanding of cancer genetics, onco-protein structure and function, and medicinal chemistry. Our MasterKey therapies are designed to address a broad spectrum of genetically defined tumors, overcome resistance, minimize wild-type mediated toxicities, and be brain-penetrant to treat central nervous system (CNS) disease. Our compounds target families of oncogenic mutations in clinically validated pathways. Our lead clinical-stage program, silevertinib (formerly BDTX-1535), a brain-penetrant, fourth-generation epidermal growth factor receptor (EGFR) MasterKey inhibitor, is currently being studied in a Phase 2 clinical trial in patients with epidermal growth factor receptor mutant (EGFRm) non-small cell lung cancer (NSCLC). We plan to initiate a randomized Phase 2 trial of silevertinib in newly diagnosed patients with EGFR altered glioblastoma (GBM) in the second quarter of 2026.</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Black Diamond Therapeutics approach</w:t>
      </w:r>
    </w:p>
    <w:p>
      <w:pPr>
        <w:spacing w:after="0" w:line="248" w:lineRule="exact"/>
        <w:rPr>
          <w:sz w:val="20"/>
          <w:szCs w:val="20"/>
          <w:color w:val="auto"/>
        </w:rPr>
      </w:pPr>
    </w:p>
    <w:p>
      <w:pPr>
        <w:ind w:right="700"/>
        <w:spacing w:after="0" w:line="271" w:lineRule="auto"/>
        <w:rPr>
          <w:sz w:val="20"/>
          <w:szCs w:val="20"/>
          <w:color w:val="auto"/>
        </w:rPr>
      </w:pPr>
      <w:r>
        <w:rPr>
          <w:rFonts w:ascii="Arial" w:cs="Arial" w:eastAsia="Arial" w:hAnsi="Arial"/>
          <w:sz w:val="22"/>
          <w:szCs w:val="22"/>
          <w:color w:val="auto"/>
        </w:rPr>
        <w:t>Our goal is to bring targeted oncology medicine to patients with genetically defined cancers who have limited treatment options. Our drug development efforts leverage our novel findings that:</w:t>
      </w:r>
    </w:p>
    <w:p>
      <w:pPr>
        <w:spacing w:after="0" w:line="64" w:lineRule="exact"/>
        <w:rPr>
          <w:sz w:val="20"/>
          <w:szCs w:val="20"/>
          <w:color w:val="auto"/>
        </w:rPr>
      </w:pPr>
    </w:p>
    <w:p>
      <w:pPr>
        <w:ind w:left="720" w:right="260" w:hanging="363"/>
        <w:spacing w:after="0" w:line="271" w:lineRule="auto"/>
        <w:tabs>
          <w:tab w:leader="none" w:pos="720" w:val="left"/>
        </w:tabs>
        <w:numPr>
          <w:ilvl w:val="0"/>
          <w:numId w:val="7"/>
        </w:numPr>
        <w:rPr>
          <w:rFonts w:ascii="Arial" w:cs="Arial" w:eastAsia="Arial" w:hAnsi="Arial"/>
          <w:sz w:val="22"/>
          <w:szCs w:val="22"/>
          <w:color w:val="auto"/>
        </w:rPr>
      </w:pPr>
      <w:r>
        <w:rPr>
          <w:rFonts w:ascii="Arial" w:cs="Arial" w:eastAsia="Arial" w:hAnsi="Arial"/>
          <w:sz w:val="22"/>
          <w:szCs w:val="22"/>
          <w:color w:val="auto"/>
        </w:rPr>
        <w:t>mutations throughout a gene can drive oncogenic activation and change the drug selectivity profile of their active sites;</w:t>
      </w:r>
    </w:p>
    <w:p>
      <w:pPr>
        <w:spacing w:after="0" w:line="63" w:lineRule="exact"/>
        <w:rPr>
          <w:rFonts w:ascii="Arial" w:cs="Arial" w:eastAsia="Arial" w:hAnsi="Arial"/>
          <w:sz w:val="22"/>
          <w:szCs w:val="22"/>
          <w:color w:val="auto"/>
        </w:rPr>
      </w:pPr>
    </w:p>
    <w:p>
      <w:pPr>
        <w:ind w:left="720" w:right="20" w:hanging="363"/>
        <w:spacing w:after="0" w:line="271" w:lineRule="auto"/>
        <w:tabs>
          <w:tab w:leader="none" w:pos="7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these oncogenic mutations can be grouped into families because they drive similar protein structural changes, and exhibit a shared selectivity profile; and</w:t>
      </w:r>
    </w:p>
    <w:p>
      <w:pPr>
        <w:spacing w:after="0" w:line="63" w:lineRule="exact"/>
        <w:rPr>
          <w:rFonts w:ascii="Arial" w:cs="Arial" w:eastAsia="Arial" w:hAnsi="Arial"/>
          <w:sz w:val="22"/>
          <w:szCs w:val="22"/>
          <w:color w:val="auto"/>
        </w:rPr>
      </w:pPr>
    </w:p>
    <w:p>
      <w:pPr>
        <w:ind w:left="720" w:right="500" w:hanging="363"/>
        <w:spacing w:after="0" w:line="271" w:lineRule="auto"/>
        <w:tabs>
          <w:tab w:leader="none" w:pos="7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family of oncogenic proteins can therefore be inhibited by a single molecule that targets the active site regardless of where it appears on the receptor.</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Our MasterKey therapies were discovered using our proprietary MAP drug discovery engine which was built on three central pillars: identification of oncogenic mutations, confirmation of oncogenicity of mutations based upon cell and tumor models, and pharmacologic inhibition of the relevant mutations while sparing wild-type. Approved targeted therapies, such as kinase inhibitors, have transformed the treatment of cancers and demonstrated a significant benefit in certain patients by treating active site mutations in a single tumor type. Improved genetic sequencing of human cancers has led to the discovery of additional oncogenic genetic alterations. These genetic alterations were previously unaddressed, unsuccessfully targeted or overlooked. Our MasterKey therapies are designed to target families of oncogenic driver mutations by exploiting their shared activating conformation. We believe our MasterKey approach offers a substantial opportunity to expand the number of patients who could benefit from targeted oncology medicines.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Black Diamond Therapeutics pipeline</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We have a pipeline of orally available, potent and selective small molecule MasterKey inhibitors that target families of driver mutations in individual oncogenes for the treatment of cancer and genetic diseases. In addition to our lead program, silevertinib, our pipeline also includes an outlicensed clinical-stage product candidate and one development-stage product candidate. An overview of our pipeline is shown in the table below.</w:t>
      </w:r>
    </w:p>
    <w:p>
      <w:pPr>
        <w:sectPr>
          <w:pgSz w:w="11880" w:h="15480" w:orient="portrait"/>
          <w:cols w:equalWidth="0" w:num="1">
            <w:col w:w="10180"/>
          </w:cols>
          <w:pgMar w:left="820" w:top="58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10180"/>
          </w:cols>
          <w:pgMar w:left="820" w:top="582" w:right="88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417195</wp:posOffset>
            </wp:positionV>
            <wp:extent cx="6496685" cy="2865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496685" cy="286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700"/>
        <w:spacing w:after="0" w:line="276" w:lineRule="auto"/>
        <w:rPr>
          <w:sz w:val="20"/>
          <w:szCs w:val="20"/>
          <w:color w:val="auto"/>
        </w:rPr>
      </w:pPr>
      <w:r>
        <w:rPr>
          <w:rFonts w:ascii="Arial" w:cs="Arial" w:eastAsia="Arial" w:hAnsi="Arial"/>
          <w:sz w:val="22"/>
          <w:szCs w:val="22"/>
          <w:b w:val="1"/>
          <w:bCs w:val="1"/>
          <w:i w:val="1"/>
          <w:iCs w:val="1"/>
          <w:color w:val="auto"/>
        </w:rPr>
        <w:t>Silevertinib: a brain-penetrant, irreversible EGFR MasterKey inhibitor with potential to treat both EGFRm NSCLC and EGFR altered GBM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NSCLC</w:t>
      </w:r>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We believe that silevertinib has the potential to treat newly diagnosed patients with EGFRm NSCLC as well as those with recurrent disease, based upon silevertinib’s ability to address greater than 50 classical and non-classical oncogenic driver mutations with greater potency than other EGFR tyrosine kinase inhibitors (TKI’s), as well as uniquely target the C797S resistance mutation which can be acquired after treatment with osimertinib. Historically, EGFR inhibitors have demonstrated significant clinical benefit in patients with classical EGFR activating mutations and are the current frontline standard of care. However, over time, almost all patients acquire resistance and relapse. Furthermore, up to half of all NSCLC patients either have CNS metastases at diagnosis or will develop them while on treatment, which contributes to increased resistance to treatment and a poor prognosis. The majority of first and second-generation EGFR inhibitors do not adequately penetrate the CNS. While the third-generation EGFR inhibitor osimertinib has been shown to exhibit some CNS penetrance and delay the progression of CNS metastases, there are few options remaining to patients with “P-loop αC-helix compressing” mutations (PACC, a subset of non-classical mutations) that are insensitive to osimertinib. Moreover, there are no therapies approved for the treatment of patients when resistance to osimertinib presents due to the acquired resistance mutation C797S. Silevertinib has been observed to be highly brain-penetrant in the clinical setting. Silevertinib has also received Fast Track Designation from the U.S. Food and Drug Administration (FDA) for the treatment of patients with EGFR mutant C797S-positive NSCLC whose disease has progressed on/after a third-generation EGFR TKI.</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increasing use of next-generation sequencing of newly diagnosed NSCLC tumors has revealed that 23-30% of EGFRm patients harbor one or more non-classical mutations. Based upon real-world evidence gathered in collaboration with Guardant Health, these patients have significant unmet medical needs. We presented real-world treatment outcomes for newly diagnosed NSCLC patients with non-classical EGFR mutations at the 2024 European Society for Medical Oncology (ESMO) Congress. The analyses allowed association with real-world treatment practices and therapeutic outcomes. The findings further demonstrated that current treatment practices for patients with non-classical mutations are heterogenous: 36% of patients received osimertinib or afatinib and 60% of patients received chemotherapy and/or immunotherapy. Time to treatment discontinuation for patients with non-classical mutations was &lt; 8 months, which is much shorter than the &gt; 14 months observed for patients with a classical mutation who were receiving osimertinib. Our preclinical data for silevertinib showed greater potency against these non-classical mutations, including “P-loop αC-helix compressing” mutations (PACC), than currently available EGFR TKI’s that are used either off label or for a narrowly defined set of mutations in the frontline setting.</w:t>
      </w:r>
    </w:p>
    <w:p>
      <w:pPr>
        <w:sectPr>
          <w:pgSz w:w="11880" w:h="15480" w:orient="portrait"/>
          <w:cols w:equalWidth="0" w:num="1">
            <w:col w:w="10220"/>
          </w:cols>
          <w:pgMar w:left="82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10220"/>
          </w:cols>
          <w:pgMar w:left="820" w:top="1440" w:right="840" w:bottom="0" w:gutter="0" w:footer="0" w:header="0"/>
          <w:type w:val="continuous"/>
        </w:sectPr>
      </w:pPr>
    </w:p>
    <w:bookmarkStart w:id="13" w:name="page14"/>
    <w:bookmarkEnd w:id="13"/>
    <w:p>
      <w:pPr>
        <w:spacing w:after="0" w:line="273" w:lineRule="auto"/>
        <w:rPr>
          <w:sz w:val="20"/>
          <w:szCs w:val="20"/>
          <w:color w:val="auto"/>
        </w:rPr>
      </w:pPr>
      <w:r>
        <w:rPr>
          <w:rFonts w:ascii="Arial" w:cs="Arial" w:eastAsia="Arial" w:hAnsi="Arial"/>
          <w:sz w:val="20"/>
          <w:szCs w:val="20"/>
          <w:color w:val="auto"/>
        </w:rPr>
        <w:t>Silevertinib is currently being studied in a Phase 2 clinical trial in patients with EGFRm NSCLC in both the frontline and recurrent settings. In the fourth quarter of 2025, we announced initial data from our Phase 2 trial of 43 frontline NSCLC patients harboring a broad spectrum of 35 distinct non-classical EGFR mutations, including 16 patients with brain metastases (7 of whom had measurable CNS target lesions). All patients were enrolled at a 200 mg oral daily dose of silevertinib. Efficacy and safety were assessed with a November 3, 2025 data cutoff and median follow-up time as of this date was 7.2 months. The study is fully enrolled and remains ongoing. The initial data from this trial was encouraging with 25 confirmed partial responses and 1 confirmed complete response equating to a 60% Objective Response Rate (ORR by RECIST 1.1). CNS ORR (by RANO-BM) was 86% and the disease control rate (DCR) was 91%. No new safety signals were observed. Adverse events (AEs) experienced by a majority of patients include rash, stomatitis, diarrhea and paronychia and were managed with standard supportive care and dose interruptions or reductions without compromising response depth or durability. As of the November 3, 2025 data cutoff, 29 patients remained on therapy (5 of 29 after progression) with one patient having been on therapy for more than 19 months. We plan to present updated results from the Phase 2 NSCLC trial, including preliminary duration of response (DOR) and progression-free survival (PFS) data in the frontline setting (43 patients) as well as updated clinical results in the recurrent setting (83 patients), at a medical meeting in the second quarter of 2026.</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GBM</w:t>
      </w:r>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Silevertinib has demonstrated encouraging CNS activity in multiple trials across NSCLC and GBM. In our Phase 2 clinical trial in frontline patients with EGFRm NSCLC 86% of patients achieved a confirmed CNS response. The results from our Phase 1 trial of silevertinib in patients with relapsed/recurrent GBM (presented at the American Society of Clinical Oncology (ASCO) Annual Meeting in 2024) showed encouraging duration of treatment and clinical activity, and a tolerability profile consistent with the initial safety data seen in patients with recurrent NSCLC. A Phase 0/1 “window of opportunity” study sponsored by the Ivy Brain Tumor Center in Phoenix, Arizona in patients with recurrent high-grade glioma (HGG) with EGFR alterations and/or fusions at initial diagnosis demonstrated that silevertinib exceeded the pre-specified threshold for drug concentration in the brain tumor tissue and was generally well tolerated. It also showed that silevertinib penetrates non-contrast enhancing regions of glioblastoma and suppresses EGFR signaling in patient tumors. Based on these data,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are preparing to initiate a randomized Phase 2 trial in this patient population in the second quarter of 2026. After a combination safety lead-in, the trial is expected to enroll approximately 150 newly diagnosed patients, randomized to receive temozolomide (TMZ) (as the control arm) or silevertinib plus TMZ (as the experimental arm). The eligible patient population will be on EGFRvIII-positive patients (approximately 30% of GBM patients) who are O-6-methylguanine-DNA methyltransferase (MGMT) - negative (unmethylated). Randomization and treatment will begin after patients have had surgical resection and radiation and are eligible for maintenance TMZ. The primary endpoint of the trial will be PFS (RANO by blinded independent committee review, or BICR), with a planned futility analysis, and an interim PFS analysis anticipated in the first half of 2028. The secondary endpoint of the trial will be overall survival (OS). The trial will be governed by an independent data monitoring committee (IDMC).</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We are also continuing to explore potential partnership opportunities to advance silevertinib into pivotal development.</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240"/>
          </w:cols>
          <w:pgMar w:left="820" w:top="590" w:right="82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i w:val="1"/>
          <w:iCs w:val="1"/>
          <w:color w:val="auto"/>
        </w:rPr>
        <w:t>BDTX-4933: a highly selective, brain-penetrant RAF MasterKey inhibitor – global rights licensed to Servier</w:t>
      </w:r>
    </w:p>
    <w:p>
      <w:pPr>
        <w:spacing w:after="0" w:line="273"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BDTX-4933 (also known as S241656) was designed to be a potent and selective, reversible oral inhibitor that targets broad families of oncogenic BRAF, KRAS and NRAS alterations. BDTX-4933 selectively targets constitutively active RAF dimers resulting from either BRAF mutations or other upstream oncogenic MAPK pathway alterations, such as KRAS and NRAS alterations. In preclinical tumor models, we observed that BDTX-4933 demonstrated brain-penetrant activity and achieved regression of tumors carrying a broad spectrum of KRAS mutations, NRAS alterations, as well as BRAF Class I, II, and III mutations. The program was in a Phase 1 clinical trial in patients with BRAF and select KRAS and NRAS mutation-positive cancers, with an emphasis on patients with non-G12C KRAS mutant NSCLC when it was outlicensed to Servier Pharmaceuticals LLC (Servier) in the first quarter of 2025. Pursuant to the license agreement, we granted to Servier a global license to develop and commercialize BDTX-4933. Under the terms of the license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FGFR Program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We are exploring partnership opportunities for our FGFR2/3 selective development candidate BDTX-4876.</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248"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Our vision is to build a differentiated, global biopharmaceutical company developing and commercializing novel medicines for patients with genetically defined tumors. We are advancing compounds that have been discovered through improved understanding of mutant protein conformations to (i) identify novel oncogenic driver mutations and</w:t>
      </w:r>
    </w:p>
    <w:p>
      <w:pPr>
        <w:ind w:firstLine="4"/>
        <w:spacing w:after="0" w:line="277" w:lineRule="auto"/>
        <w:tabs>
          <w:tab w:leader="none" w:pos="317" w:val="left"/>
        </w:tabs>
        <w:numPr>
          <w:ilvl w:val="0"/>
          <w:numId w:val="8"/>
        </w:numPr>
        <w:rPr>
          <w:rFonts w:ascii="Arial" w:cs="Arial" w:eastAsia="Arial" w:hAnsi="Arial"/>
          <w:sz w:val="20"/>
          <w:szCs w:val="20"/>
          <w:color w:val="auto"/>
        </w:rPr>
      </w:pPr>
      <w:r>
        <w:rPr>
          <w:rFonts w:ascii="Arial" w:cs="Arial" w:eastAsia="Arial" w:hAnsi="Arial"/>
          <w:sz w:val="20"/>
          <w:szCs w:val="20"/>
          <w:color w:val="auto"/>
        </w:rPr>
        <w:t>target families of oncogenic mutations with MasterKey therapies to address a greater number of patients. Our strategy is to explore development of these compounds starting in later-line settings, and based on results, to expand development into early-line settings where patients with these mutations have few treatment options and well tolerated oral therapies have implicit advantages for patients as compared to intravenously administered chemotherapy, antibody, or conjugate-based therapies. The critical components of our strategy include:</w:t>
      </w:r>
    </w:p>
    <w:p>
      <w:pPr>
        <w:spacing w:after="0" w:line="58" w:lineRule="exact"/>
        <w:rPr>
          <w:rFonts w:ascii="Arial" w:cs="Arial" w:eastAsia="Arial" w:hAnsi="Arial"/>
          <w:sz w:val="20"/>
          <w:szCs w:val="20"/>
          <w:color w:val="auto"/>
        </w:rPr>
      </w:pPr>
    </w:p>
    <w:p>
      <w:pPr>
        <w:ind w:left="720" w:right="220" w:hanging="363"/>
        <w:spacing w:after="0" w:line="298" w:lineRule="auto"/>
        <w:tabs>
          <w:tab w:leader="none" w:pos="720" w:val="left"/>
        </w:tabs>
        <w:numPr>
          <w:ilvl w:val="1"/>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Generate Phase 2 clinical trial results for silevertinib in patients with EGFRm NSCLC to enable a potential pivotal trial. </w:t>
      </w:r>
      <w:r>
        <w:rPr>
          <w:rFonts w:ascii="Arial" w:cs="Arial" w:eastAsia="Arial" w:hAnsi="Arial"/>
          <w:sz w:val="19"/>
          <w:szCs w:val="19"/>
          <w:color w:val="auto"/>
        </w:rPr>
        <w:t>We believe that the ability of silevertinib to target approximately 50 oncogenic</w:t>
      </w:r>
      <w:r>
        <w:rPr>
          <w:rFonts w:ascii="Arial" w:cs="Arial" w:eastAsia="Arial" w:hAnsi="Arial"/>
          <w:sz w:val="19"/>
          <w:szCs w:val="19"/>
          <w:b w:val="1"/>
          <w:bCs w:val="1"/>
          <w:color w:val="auto"/>
        </w:rPr>
        <w:t xml:space="preserve"> </w:t>
      </w:r>
      <w:r>
        <w:rPr>
          <w:rFonts w:ascii="Arial" w:cs="Arial" w:eastAsia="Arial" w:hAnsi="Arial"/>
          <w:sz w:val="19"/>
          <w:szCs w:val="19"/>
          <w:color w:val="auto"/>
        </w:rPr>
        <w:t>mutations that are not sufficiently addressed by existing therapies, as well as its oral administration, tolerability profile, CNS penetrance, and clinical data generated to date, offers significant potential to treat patients with EGFRm NSCLC. We expect to seek guidance from the FDA on a potential pivotal trial design in the frontline setting, based on preliminary DOR and PFS data anticipated in the second quarter of 2026.</w:t>
      </w:r>
    </w:p>
    <w:p>
      <w:pPr>
        <w:spacing w:after="0" w:line="42" w:lineRule="exact"/>
        <w:rPr>
          <w:rFonts w:ascii="Arial" w:cs="Arial" w:eastAsia="Arial" w:hAnsi="Arial"/>
          <w:sz w:val="19"/>
          <w:szCs w:val="19"/>
          <w:color w:val="auto"/>
        </w:rPr>
      </w:pPr>
    </w:p>
    <w:p>
      <w:pPr>
        <w:ind w:left="720" w:right="40" w:hanging="363"/>
        <w:spacing w:after="0" w:line="281" w:lineRule="auto"/>
        <w:tabs>
          <w:tab w:leader="none" w:pos="72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Conduct a Phase 2 clinical trial for silevertinib in newly diagnosed patients with EGFR altered GBM to support a potential pivotal study. </w:t>
      </w:r>
      <w:r>
        <w:rPr>
          <w:rFonts w:ascii="Arial" w:cs="Arial" w:eastAsia="Arial" w:hAnsi="Arial"/>
          <w:sz w:val="20"/>
          <w:szCs w:val="20"/>
          <w:color w:val="auto"/>
        </w:rPr>
        <w:t>Silevertinib has demonstrated encouraging CNS activity in multiple trials</w:t>
      </w:r>
      <w:r>
        <w:rPr>
          <w:rFonts w:ascii="Arial" w:cs="Arial" w:eastAsia="Arial" w:hAnsi="Arial"/>
          <w:sz w:val="20"/>
          <w:szCs w:val="20"/>
          <w:b w:val="1"/>
          <w:bCs w:val="1"/>
          <w:color w:val="auto"/>
        </w:rPr>
        <w:t xml:space="preserve"> </w:t>
      </w:r>
      <w:r>
        <w:rPr>
          <w:rFonts w:ascii="Arial" w:cs="Arial" w:eastAsia="Arial" w:hAnsi="Arial"/>
          <w:sz w:val="20"/>
          <w:szCs w:val="20"/>
          <w:color w:val="auto"/>
        </w:rPr>
        <w:t>across NSCLC and GBM, and we believe that it is uniquely positioned as a potential treatment for patients with newly diagnosed EGFR-altered GBM, a disease with significant unmet need. We plan to initiate a randomized Phase 2 trial in newly diagnosed GBM patients in the second quarter of 2026, with interim efficacy data expected in the first half of 2028.</w:t>
      </w:r>
    </w:p>
    <w:p>
      <w:pPr>
        <w:spacing w:after="0" w:line="54" w:lineRule="exact"/>
        <w:rPr>
          <w:rFonts w:ascii="Arial" w:cs="Arial" w:eastAsia="Arial" w:hAnsi="Arial"/>
          <w:sz w:val="20"/>
          <w:szCs w:val="20"/>
          <w:color w:val="auto"/>
        </w:rPr>
      </w:pPr>
    </w:p>
    <w:p>
      <w:pPr>
        <w:ind w:left="720" w:right="40" w:hanging="363"/>
        <w:spacing w:after="0" w:line="284" w:lineRule="auto"/>
        <w:tabs>
          <w:tab w:leader="none" w:pos="72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Evaluate potential strategic partnerships for the pivotal development of silevertinib and to maximize the value of our pipeline. </w:t>
      </w:r>
      <w:r>
        <w:rPr>
          <w:rFonts w:ascii="Arial" w:cs="Arial" w:eastAsia="Arial" w:hAnsi="Arial"/>
          <w:sz w:val="20"/>
          <w:szCs w:val="20"/>
          <w:color w:val="auto"/>
        </w:rPr>
        <w:t>We are exploring potential partnerships for the further development of silevertinib,</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potential pivotal trial in frontline EGFRm NSCLC. We also continue to review potential partnership opportunities and strategic alternatives for our FGFR program, BDTX-4876, as well as other transactions that may provide non-dilutive funding to the company.</w:t>
      </w:r>
    </w:p>
    <w:p>
      <w:pPr>
        <w:sectPr>
          <w:pgSz w:w="11880" w:h="15480" w:orient="portrait"/>
          <w:cols w:equalWidth="0" w:num="1">
            <w:col w:w="10240"/>
          </w:cols>
          <w:pgMar w:left="820" w:top="5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240"/>
          </w:cols>
          <w:pgMar w:left="820" w:top="580" w:right="820" w:bottom="0" w:gutter="0" w:footer="0" w:header="0"/>
          <w:type w:val="continuous"/>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Our history and team</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We were founded in 2014 and in 2017, together with Versant Ventures, we began building the MAP drug discovery engine to profile oncogenic mutations and create MasterKey Therapies. We have assembled a team with significant expertise in drug development, with particular strength in small molecule protein kinase inhibitors and advancement of oncology drug candidates through clinical trials and regulatory approval. Mark Velleca, M.D., Ph.D., our Chairman, President and Chief Executive Officer was previously the chief executive officer of G1 Therapeutics, Inc., where he led the advancement of multiple product candidates across several therapeutic areas, including its first therapy from investigational new drug (IND) filing to FDA approval. Elizabeth Buck, Ph.D., our Chief Scientific Officer, previously led preclinical pharmacology and oncology translational research at OSI Pharmaceuticals, Inc. Sergey Yurasov, M.D., Ph.D., our Chief Medical Officer, previously served as Chief Medical Officer at Nuvation Bio. Melanie Morrison, our Chief Development Officer, previously served as Senior Vice President, Program Management and Clinical Operations at Nuvation Bio. Brent Hatzis-Schoch, our Chief Operating Officer and General Counsel, was previously General Counsel at Radius Health, Inc. and Erika Jones, our Senior Vice President of Finance and Principal Financial and Accounting Officer, previously served as the Director of Finance at Axcella Health Inc.</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 candidates and development programs</w:t>
      </w:r>
    </w:p>
    <w:p>
      <w:pPr>
        <w:spacing w:after="0" w:line="248" w:lineRule="exact"/>
        <w:rPr>
          <w:sz w:val="20"/>
          <w:szCs w:val="20"/>
          <w:color w:val="auto"/>
        </w:rPr>
      </w:pPr>
    </w:p>
    <w:p>
      <w:pPr>
        <w:ind w:right="320"/>
        <w:spacing w:after="0" w:line="258" w:lineRule="auto"/>
        <w:rPr>
          <w:sz w:val="20"/>
          <w:szCs w:val="20"/>
          <w:color w:val="auto"/>
        </w:rPr>
      </w:pPr>
      <w:r>
        <w:rPr>
          <w:rFonts w:ascii="Arial" w:cs="Arial" w:eastAsia="Arial" w:hAnsi="Arial"/>
          <w:sz w:val="22"/>
          <w:szCs w:val="22"/>
          <w:color w:val="auto"/>
        </w:rPr>
        <w:t>We have a pipeline of orally available, potent and selective small molecule MasterKey therapies that target genetic drivers in several cancers. We own worldwide commercial rights to silevertinib and our FGFR2/3 selective development candidate, BDTX-4876.</w:t>
      </w:r>
    </w:p>
    <w:p>
      <w:pPr>
        <w:spacing w:after="0" w:line="186" w:lineRule="exact"/>
        <w:rPr>
          <w:sz w:val="20"/>
          <w:szCs w:val="20"/>
          <w:color w:val="auto"/>
        </w:rPr>
      </w:pPr>
    </w:p>
    <w:p>
      <w:pPr>
        <w:ind w:right="20"/>
        <w:spacing w:after="0" w:line="358" w:lineRule="auto"/>
        <w:rPr>
          <w:sz w:val="20"/>
          <w:szCs w:val="20"/>
          <w:color w:val="auto"/>
        </w:rPr>
      </w:pPr>
      <w:r>
        <w:rPr>
          <w:rFonts w:ascii="Arial" w:cs="Arial" w:eastAsia="Arial" w:hAnsi="Arial"/>
          <w:sz w:val="19"/>
          <w:szCs w:val="19"/>
          <w:b w:val="1"/>
          <w:bCs w:val="1"/>
          <w:i w:val="1"/>
          <w:iCs w:val="1"/>
          <w:color w:val="auto"/>
        </w:rPr>
        <w:t>Silevertinib: a brain-penetrant, mutant selective, irreversible EGFR MasterKey inhibitor targeting EGFR classical, non-classical, and acquired resistance mutations in NSCLC and EGFR mutations expressed in GBM</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 and limitations of current EGFR inhibitors</w:t>
      </w:r>
    </w:p>
    <w:p>
      <w:pPr>
        <w:spacing w:after="0" w:line="245"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In NSCLC, EGFR inhibitors have demonstrated significant clinical benefit in patients with classical EGFR activating mutations (Exon19del, L858R) and are the current frontline standard of care. However, over time, almost all patients acquire resistance and relapse. For the third-generation EGFR inhibitor osimertinib, acquired resistance can be associated with the acquisition of a non-classical mutation (e.g., L747P, L718Q) or acquired resistance mutation C797S, against which osimertinib is inactive. Additionally, a subset of NSCLC patients at primary diagnosis harbor non-classical EGFR mutations, including complex mutations that are poorly addressed with current therapies. Furthermore, up to half of all NSCLC patients either have CNS metastases at diagnosis or will develop them while on treatment. The majority of first- and second-generation EGFR inhibitors do not adequately penetrate the CNS, and while third-generation, brain-penetrant EGFR inhibitors such as osimertinib may delay the progression of CNS metastases, there are few options remaining to patients when resistance inevitably arises. Thus, treatment for patients who carry non-classical mutations at diagnosis or patients who have progressed on current EGFR targeted agents with acquired resistance mutations, including for patients with brain metastases, remains an area of high unmet medical need in NSCLC.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solution: silevertinib</w:t>
      </w:r>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Silevertinib is a potent, selective, irreversible, oral and brain-penetrant small molecule inhibitor designed to address the critical unmet need in NSCLC and GBM driven by EGFR alterations. The pharmacological activity of silevertinib was optimized to inhibit a wide spectrum of EGFR mutations that drive resistance, and to target CNS tumors through its potential for high brain exposure.</w:t>
      </w:r>
    </w:p>
    <w:p>
      <w:pPr>
        <w:sectPr>
          <w:pgSz w:w="11880" w:h="15480" w:orient="portrait"/>
          <w:cols w:equalWidth="0" w:num="1">
            <w:col w:w="10240"/>
          </w:cols>
          <w:pgMar w:left="820" w:top="58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240"/>
          </w:cols>
          <w:pgMar w:left="820" w:top="582" w:right="820" w:bottom="0" w:gutter="0" w:footer="0" w:header="0"/>
          <w:type w:val="continuous"/>
        </w:sectPr>
      </w:pPr>
    </w:p>
    <w:bookmarkStart w:id="16" w:name="page17"/>
    <w:bookmarkEnd w:id="16"/>
    <w:p>
      <w:pPr>
        <w:ind w:right="20"/>
        <w:spacing w:after="0" w:line="295" w:lineRule="auto"/>
        <w:rPr>
          <w:sz w:val="20"/>
          <w:szCs w:val="20"/>
          <w:color w:val="auto"/>
        </w:rPr>
      </w:pPr>
      <w:r>
        <w:rPr>
          <w:rFonts w:ascii="Arial" w:cs="Arial" w:eastAsia="Arial" w:hAnsi="Arial"/>
          <w:sz w:val="19"/>
          <w:szCs w:val="19"/>
          <w:color w:val="auto"/>
        </w:rPr>
        <w:t>EGFR is a potent oncogene commonly altered in many cancers, including NSCLC and GBM. EGFR mutations in NSCLC commonly impact the kinase domain, while in GBM they occur primarily in the extracellular domain. In cell-based assays, silevertinib achieved potent inhibition of families of oncogenic EGFR mutations and selectivity versus normally expressed EGFR WT as compared to osimertinib. This includes classical, non-classical, acquired resistance, and complex mutations expressed in NSCLC. Silevertinib is not a potent inhibitor of Exon20 insertions or the T790M resistance mutation. In cell-based assays, silevertinib achieved potent MasterKey inhibition of a family of oncogenic EGFR variants expressed in GBM and EGFR amplification with selectivity versus normally expressed EGFR WT.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Clinical development</w:t>
      </w:r>
    </w:p>
    <w:p>
      <w:pPr>
        <w:spacing w:after="0" w:line="245"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The IND application for silevertinib was cleared by the FDA in the first quarter of 2022, and the first-in-human clinical trial (BDTX1535-101) was also initiated in the first quarter of 2022. The Phase 1 dose escalation part of this trial enrolled patients harboring EGFR oncogenic alterations both in NSCLC and GBM and was completed in 2023. Clinical data from the dose escalation portion of the trial demonstrated promising clinical activity and a favorable tolerability profile for silevertinib in the recurrent setting.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NSCLC</w:t>
      </w: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In the third quarter of 2023, we began the silevertinib Phase 2 NSCLC clinical trial to assess ORR by RECIST 1.1 and DOR in patients with NSCLC in two initial cohorts: one cohort with the EGFR acquired resistance C797S mutation after progression on a third-generation EGFR TKI, and the other cohort in non-classical driver mutations (NCMs) after progression on an EGFR TKI, in each case with and without brain metastases.</w:t>
      </w:r>
    </w:p>
    <w:p>
      <w:pPr>
        <w:spacing w:after="0" w:line="170"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In the third quarter of 2024, we announced initial data from the Phase 2 trial demonstrating encouraging clinical responses and durability of silevertinib in the second- and third-line settings. Based on an August 2024 data cutoff, a preliminary ORR of 42% was seen in 19 patients with known osimertinib resistance EGFR mutations (PACC “P-loop αC-helix compressing” and C797S mutations). Acquisition of C797S was frequently observed in patients who progressed following treatment with osimertinib. PACC mutations represent a structure-function group of non-classical oncogenic driver mutations which may accumulate or be acquired following treatment with osimertinib. Encouraging durability was noted with a DOR of approximately eight months or more in the first three patients who achieved a PR, while 14 of the 19 patients remained on treatment as of the cut-off date. The majority of adverse events were mild or moderate, and no new safety signals were observed. The most common on-target treatment-related adverse events were rash (70%) and diarrhea (35%). There were two cases of grade 3 rash, and no reported cases of grade 4 rash or grade 3/4 diarrhea. We completed enrollment of silevertinib in 83 patients with recurrent EGFRm NSCLC, and expect to report final data at a medical meeting in the second quarter of 2026.</w:t>
      </w:r>
    </w:p>
    <w:p>
      <w:pPr>
        <w:spacing w:after="0" w:line="189"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Following feedback from the FDA, in the first quarter of 2024, we also initiated a Phase 2 cohort in frontline patients with NSCLC harboring non-classical mutations. Enrollment in this cohort was completed in July 2025 and in December 2025, we announced initial clinical data. 43 frontline NSCLC patients were enrolled harboring a broad spectrum of 35 distinct non-classical EGFR mutations, including 16 patients with brain metastases (7 of whom had measurable CNS target lesions). All patients were enrolled at a 200mg oral daily dose of silevertinib. Efficacy and safety were assessed with a November 3, 2025 data cutoff and median follow-up time as of the November 2025 data cutoff was 7.2 months. ORR by RECIST 1.1 was 60% with 25 confirmed partial responses and 1 confirmed complete response. CNS ORR (by RANO-BM) was 86% and the DCR was 91%. No new safety signals were observed. AEs experienced by a majority of patients include rash, stomatitis, diarrhea and paronychia and were managed with standard supportive care and dose interruptions or reductions without compromising response depth or durability. As of the November 2025 data cutoff, 29 patients remained on therapy (5 of 29 after progression) with one patient having been on therapy for more than 19 months.</w:t>
      </w:r>
    </w:p>
    <w:p>
      <w:pPr>
        <w:sectPr>
          <w:pgSz w:w="11880" w:h="15480" w:orient="portrait"/>
          <w:cols w:equalWidth="0" w:num="1">
            <w:col w:w="10220"/>
          </w:cols>
          <w:pgMar w:left="820" w:top="5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220"/>
          </w:cols>
          <w:pgMar w:left="820" w:top="590" w:right="84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417195</wp:posOffset>
            </wp:positionV>
            <wp:extent cx="6496685" cy="3117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496685" cy="311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860" w:right="20"/>
        <w:spacing w:after="0" w:line="376" w:lineRule="auto"/>
        <w:rPr>
          <w:sz w:val="20"/>
          <w:szCs w:val="20"/>
          <w:color w:val="auto"/>
        </w:rPr>
      </w:pPr>
      <w:r>
        <w:rPr>
          <w:rFonts w:ascii="Arial" w:cs="Arial" w:eastAsia="Arial" w:hAnsi="Arial"/>
          <w:sz w:val="15"/>
          <w:szCs w:val="15"/>
          <w:b w:val="1"/>
          <w:bCs w:val="1"/>
          <w:i w:val="1"/>
          <w:iCs w:val="1"/>
          <w:color w:val="auto"/>
        </w:rPr>
        <w:t>Data from November 3, 2025 cut. (1) Patient awaiting confirmatory scan; if confirmed, CNS ORR is 100%. 3 patients not on waterfall plot are not evaluable (NE). (2) Patients with compound mutations are classified as “PACC” if at least one PACC mutation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6496685" cy="3038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6496685" cy="303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Data from November 3, 2025 cut. (1) Patients with compound mutations are classified as “PACC” if at least one PACC mutation is present.</w:t>
      </w:r>
    </w:p>
    <w:p>
      <w:pPr>
        <w:spacing w:after="0" w:line="265" w:lineRule="exact"/>
        <w:rPr>
          <w:sz w:val="20"/>
          <w:szCs w:val="20"/>
          <w:color w:val="auto"/>
        </w:rPr>
      </w:pPr>
    </w:p>
    <w:p>
      <w:pPr>
        <w:spacing w:after="0" w:line="271" w:lineRule="auto"/>
        <w:rPr>
          <w:sz w:val="20"/>
          <w:szCs w:val="20"/>
          <w:color w:val="auto"/>
        </w:rPr>
      </w:pPr>
      <w:r>
        <w:rPr>
          <w:rFonts w:ascii="Arial" w:cs="Arial" w:eastAsia="Arial" w:hAnsi="Arial"/>
          <w:sz w:val="22"/>
          <w:szCs w:val="22"/>
          <w:color w:val="auto"/>
        </w:rPr>
        <w:t>We plan to present updated results from the Phase 2 NSCLC trial, including DOR and PFS data in the frontline setting (43 patients), at a medical meeting in the second quarter of 2026.</w:t>
      </w:r>
    </w:p>
    <w:p>
      <w:pPr>
        <w:sectPr>
          <w:pgSz w:w="11880" w:h="15480" w:orient="portrait"/>
          <w:cols w:equalWidth="0" w:num="1">
            <w:col w:w="10220"/>
          </w:cols>
          <w:pgMar w:left="82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220"/>
          </w:cols>
          <w:pgMar w:left="820" w:top="1440" w:right="84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u w:val="single" w:color="auto"/>
          <w:color w:val="auto"/>
        </w:rPr>
        <w:t>GBM</w:t>
      </w:r>
    </w:p>
    <w:p>
      <w:pPr>
        <w:spacing w:after="0" w:line="24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GBM is a difficult-to-treat, aggressive malignancy of the central nervous system. Standard therapy at diagnosis consists of surgical resection followed by radiation and chemotherapy. Prognosis remains poor, with only approximately 25% of newly diagnosed patients surviving two years or longer after diagnosis. At the time of diagnosis, approximately 52% of GBM tumors express one or more EGFR oncogenic alterations that affect the extracellular region of the receptor tyrosine kinase, consequently promoting oncogenic activation. We believe that current targeted therapies have been unsuccessful in treating GBM due to (i) the concurrent expression of different EGFR oncogenic alterations within individual patients, (ii) insufficient drug potency across different EGFR oncogenic alterations, (iii) paradoxical activation of mutant EGFR commonly found in GBM by earlier-generation inhibitors, and (iv) low levels of brain penetration. In preclinical models, we have shown that the mechanism of activation for these EGFR oncogenic alterations involves the formation of a constitutive dimer that exhibits a conformation leading to ligand-independent signaling shared by a family of extracellular domain EGFR alterations expressed in GBM. Silevertinib was designed to overcome these challenges and address the significant unmet need for new treatments for patients with GBM.</w:t>
      </w:r>
    </w:p>
    <w:p>
      <w:pPr>
        <w:spacing w:after="0" w:line="185" w:lineRule="exact"/>
        <w:rPr>
          <w:sz w:val="20"/>
          <w:szCs w:val="20"/>
          <w:color w:val="auto"/>
        </w:rPr>
      </w:pPr>
    </w:p>
    <w:p>
      <w:pPr>
        <w:ind w:right="240"/>
        <w:spacing w:after="0" w:line="280" w:lineRule="auto"/>
        <w:rPr>
          <w:sz w:val="20"/>
          <w:szCs w:val="20"/>
          <w:color w:val="auto"/>
        </w:rPr>
      </w:pPr>
      <w:r>
        <w:rPr>
          <w:rFonts w:ascii="Arial" w:cs="Arial" w:eastAsia="Arial" w:hAnsi="Arial"/>
          <w:sz w:val="20"/>
          <w:szCs w:val="20"/>
          <w:color w:val="auto"/>
        </w:rPr>
        <w:t>In the fourth quarter of 2023, we announced dose escalation results in 22 patients with GBM demonstrating clinical activity in heavily pre-treated patients, including 1 confirmed partial response and 8 patients with stable disease among 19 patients with measurable disease by RANO criteria. Of 22 patients evaluable for efficacy, 3 patients were shown to be on therapy longer than 10 months, 1 patient longer than 6 months, and 5 patients longer than 4 months. Importantly, historical PFS in this population is expected to last approximate 2-4 months. Silevertinib was shown to be generally well tolerated, with no new safety signals observed.</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20"/>
          <w:szCs w:val="20"/>
          <w:color w:val="auto"/>
        </w:rPr>
        <w:t>In the second quarter of 2024, at the ASCO Annual Meeting, we presented preliminary data from the Phase 1 trial of silevertinib in patients with relapsed/recurrent GBM, demonstrating encouraging duration of treatment and clinical activity, and a tolerability profile consistent with the initial safety data released in 2023.</w:t>
      </w:r>
    </w:p>
    <w:p>
      <w:pPr>
        <w:spacing w:after="0" w:line="160"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color w:val="auto"/>
        </w:rPr>
        <w:t>Also, in the second quarter of 2024, initial results were presented at the ASCO Annual Meeting from an investigator (Ivy Brain Tumor Center) sponsored Phase 0/1 “window of opportunity” trial of silevertinib in patients with recurrent high-grade glioma with EGFR alterations and/or fusions at initial diagnosis and who underwent surgical intracranial tumor resection. The data presented demonstrated that silevertinib exceeded the pre-specified threshold for drug concentration in the brain tumor tissue and was generally well tolerated with expected EGFR-mediated side effects. Additional promising results from this trial were presented by the Ivy Brain Tumor Center at the European Association of Neuro-Oncology (EANO) annual meeting in the fourth quarter of 2024, and at the EANO, the Society of Neuro-Oncology (SNO), and the American Association for Cancer Research (AACR) annual meetings in 2025. These data demonstrated that silevertinib penetrates non-contrast enhancing regions of glioblastoma and suppresses EGFR signaling in patient tumors. In March 2025, the Phase 0/1 trial was modified by the Ivy Brain Tumor Center to include newly diagnosed GBM patients with EGFR alterations.</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Based on these data and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are preparing to initiate a randomized Phase 2 trial in this patient population in the second quarter of 2026. After a combination safety lead-in of silevertinib plus temozolomide (TMZ), the trial is expected to enroll approximately 150 newly diagnosed patients, randomized to receive TMZ (as the control arm) or silevertinib plus TMZ (as the experimental arm). The eligible patient population will be on EGFRvIII-positive patients (approximately 30% of GBM patients) who are O-6-methylguanine-DNA methyltransferase (MGMT) -negative (unmethylated). Randomization and treatment will begin after patients have had surgical resection and radiation and are eligible for maintenance TMZ.</w:t>
      </w:r>
    </w:p>
    <w:p>
      <w:pPr>
        <w:spacing w:after="0" w:line="187"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color w:val="auto"/>
        </w:rPr>
        <w:t>The primary endpoint of the trial will be PFS (RANO by BICR), with a planned futility analysis, and an interim PFS analysis anticipated in the first half of 2028. The secondary endpoint of the trial will be OS. The trial will be governed by an IDMC.</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240"/>
          </w:cols>
          <w:pgMar w:left="820" w:top="590" w:right="8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2"/>
          <w:szCs w:val="22"/>
          <w:b w:val="1"/>
          <w:bCs w:val="1"/>
          <w:color w:val="auto"/>
        </w:rPr>
        <w:t>Early-stage programs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FGFR program</w:t>
      </w:r>
    </w:p>
    <w:p>
      <w:pPr>
        <w:spacing w:after="0" w:line="245" w:lineRule="exact"/>
        <w:rPr>
          <w:sz w:val="20"/>
          <w:szCs w:val="20"/>
          <w:color w:val="auto"/>
        </w:rPr>
      </w:pPr>
    </w:p>
    <w:p>
      <w:pPr>
        <w:ind w:right="40"/>
        <w:spacing w:after="0" w:line="280" w:lineRule="auto"/>
        <w:rPr>
          <w:sz w:val="20"/>
          <w:szCs w:val="20"/>
          <w:color w:val="auto"/>
        </w:rPr>
      </w:pPr>
      <w:r>
        <w:rPr>
          <w:rFonts w:ascii="Arial" w:cs="Arial" w:eastAsia="Arial" w:hAnsi="Arial"/>
          <w:sz w:val="20"/>
          <w:szCs w:val="20"/>
          <w:color w:val="auto"/>
        </w:rPr>
        <w:t>Oncogenic mutations affecting FGFR2 and FGFR3 (including short variant point mutations and fusions) are expressed across a range of cancers such as bladder and cholangiocarcinoma. While these mutations have been targeted by three first-generation pan-FGFR inhibitors (erdafitinib, pemigatinib and infigratinib), clinical success has been hindered by dose limiting toxicities related to on-target inhibition of FGFR1, which causes hyperphosphatemia and the need for significant dose interruptions and dose reductions, and even discontinuation. These limitations curtail the efficacy of current-generation FGFR targeted therapies.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BDTX-4876 is a MasterKey inhibitor of oncogenic FGFR 2 /3 mutations with selectivity versus FGFR1/4. In preclinical tumor models dose dependent tumor regression was demonstrated, and bone growth was also observed in a preclinical model supporting the potential development of BDTX-4876 in musculoskeletal dysplasia. We are currently exploring potential partnerships for further development of this program.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48" w:lineRule="exact"/>
        <w:rPr>
          <w:sz w:val="20"/>
          <w:szCs w:val="20"/>
          <w:color w:val="auto"/>
        </w:rPr>
      </w:pPr>
    </w:p>
    <w:p>
      <w:pPr>
        <w:ind w:right="80"/>
        <w:spacing w:after="0" w:line="249" w:lineRule="auto"/>
        <w:rPr>
          <w:sz w:val="20"/>
          <w:szCs w:val="20"/>
          <w:color w:val="auto"/>
        </w:rPr>
      </w:pPr>
      <w:r>
        <w:rPr>
          <w:rFonts w:ascii="Arial" w:cs="Arial" w:eastAsia="Arial" w:hAnsi="Arial"/>
          <w:sz w:val="22"/>
          <w:szCs w:val="22"/>
          <w:color w:val="auto"/>
        </w:rPr>
        <w:t>Our industry is intensely competitive and subject to rapid and significant technological change.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209" w:lineRule="exact"/>
        <w:rPr>
          <w:sz w:val="20"/>
          <w:szCs w:val="20"/>
          <w:color w:val="auto"/>
        </w:rPr>
      </w:pPr>
    </w:p>
    <w:p>
      <w:pPr>
        <w:ind w:right="40"/>
        <w:spacing w:after="0" w:line="306" w:lineRule="auto"/>
        <w:rPr>
          <w:sz w:val="20"/>
          <w:szCs w:val="20"/>
          <w:color w:val="auto"/>
        </w:rPr>
      </w:pPr>
      <w:r>
        <w:rPr>
          <w:rFonts w:ascii="Arial" w:cs="Arial" w:eastAsia="Arial" w:hAnsi="Arial"/>
          <w:sz w:val="19"/>
          <w:szCs w:val="19"/>
          <w:color w:val="auto"/>
        </w:rPr>
        <w:t>We face competition with respect to our current product candidate and will face competition with respect to our future product candidates, from segments of the pharmaceutical, biotechnology and other related markets that pursue targeted therapies for patients with genetically defined cancers. There are currently compounds approved and in development which target the EGFR pathway and against which we expect silevertinib to compete, including:</w:t>
      </w:r>
    </w:p>
    <w:p>
      <w:pPr>
        <w:spacing w:after="0" w:line="38" w:lineRule="exact"/>
        <w:rPr>
          <w:sz w:val="20"/>
          <w:szCs w:val="20"/>
          <w:color w:val="auto"/>
        </w:rPr>
      </w:pPr>
    </w:p>
    <w:p>
      <w:pPr>
        <w:ind w:left="720" w:right="40" w:hanging="363"/>
        <w:spacing w:after="0" w:line="280"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patients with EGFR acquired resistance: combination of amivantamab, or Rybrevant, and lazertinib, or Lazcluze, which is marketed by Janssen Biotech, Inc.; patritumab deruxtecan, which is under development by Merck and Daiichi Sankyo Co.; datopotamab deruxtecan, which is developed by AstraZeneca plc and Daiichi Sankyo Co.; ivonescimab, which is under development by Summit Therapeutics and Akeso; TAS3351, which is under development by Taiho Oncology; BBT-207, which is under development by Bridge Biotherapeutics, Inc.; and JIN-A02, which is under development by J Ints Bio.</w:t>
      </w:r>
    </w:p>
    <w:p>
      <w:pPr>
        <w:spacing w:after="0" w:line="60" w:lineRule="exact"/>
        <w:rPr>
          <w:rFonts w:ascii="Arial" w:cs="Arial" w:eastAsia="Arial" w:hAnsi="Arial"/>
          <w:sz w:val="20"/>
          <w:szCs w:val="20"/>
          <w:color w:val="auto"/>
        </w:rPr>
      </w:pPr>
    </w:p>
    <w:p>
      <w:pPr>
        <w:ind w:left="720" w:right="140" w:hanging="363"/>
        <w:spacing w:after="0" w:line="278"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patients with EGFR non-classical mutations: afatinib, or Gilotrif, which is marketed by Boehringer Ingelheim and approved as frontline treatment of NSCLC patients with S768I, L861Q, and/or G719X mutations; osimertinib, or Tagrisso, which is marketed by AstraZeneca plc and is being prescribed off-label for NSCLC patients with exon 18 mutations; firmonertinib, which is under development by ArriVent Biopharma, Inc. and Shanghai Allist Pharmaceuticals Co. Ltd.; ORIC-114, which is under development by ORIC Pharmaceuticals, Inc.; zipalertinib, which is under development by Taiho Oncology, Inc. and Cullinan Therapeutics, Inc.; and BH-30643, which is under development by BlossomHill Therapeutics, Inc.</w:t>
      </w:r>
    </w:p>
    <w:p>
      <w:pPr>
        <w:spacing w:after="0" w:line="63" w:lineRule="exact"/>
        <w:rPr>
          <w:rFonts w:ascii="Arial" w:cs="Arial" w:eastAsia="Arial" w:hAnsi="Arial"/>
          <w:sz w:val="20"/>
          <w:szCs w:val="20"/>
          <w:color w:val="auto"/>
        </w:rPr>
      </w:pPr>
    </w:p>
    <w:p>
      <w:pPr>
        <w:ind w:left="720" w:right="20" w:hanging="363"/>
        <w:spacing w:after="0" w:line="32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patients with EGFR alterations present in GBM: WSD-0922-FU, which is under development by Wayshine Biopharm International Ltd.; and TAS-2940, which is under development by Taiho Oncology, Inc.</w:t>
      </w:r>
    </w:p>
    <w:p>
      <w:pPr>
        <w:spacing w:after="0" w:line="136" w:lineRule="exact"/>
        <w:rPr>
          <w:sz w:val="20"/>
          <w:szCs w:val="20"/>
          <w:color w:val="auto"/>
        </w:rPr>
      </w:pPr>
    </w:p>
    <w:p>
      <w:pPr>
        <w:ind w:right="80"/>
        <w:spacing w:after="0" w:line="254" w:lineRule="auto"/>
        <w:rPr>
          <w:sz w:val="20"/>
          <w:szCs w:val="20"/>
          <w:color w:val="auto"/>
        </w:rPr>
      </w:pPr>
      <w:r>
        <w:rPr>
          <w:rFonts w:ascii="Arial" w:cs="Arial" w:eastAsia="Arial" w:hAnsi="Arial"/>
          <w:sz w:val="22"/>
          <w:szCs w:val="22"/>
          <w:color w:val="auto"/>
        </w:rPr>
        <w:t>In addition, there are other small molecule and precision oncology-focused companies with whom we may eventually compete, including Lilly Loxo Oncology; Voronoi, Inc.; Deciphera Pharmaceuticals, Inc. (acquired by Ono Pharmaceutical Co., Ltd.); Verastem, Inc.; Relay Therapeutics, Inc.; Taiho Oncology, Inc.; Bayer AG; and Incyte Corp.</w:t>
      </w:r>
    </w:p>
    <w:p>
      <w:pPr>
        <w:sectPr>
          <w:pgSz w:w="11880" w:h="15480" w:orient="portrait"/>
          <w:cols w:equalWidth="0" w:num="1">
            <w:col w:w="10240"/>
          </w:cols>
          <w:pgMar w:left="820" w:top="58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240"/>
          </w:cols>
          <w:pgMar w:left="820" w:top="582" w:right="820" w:bottom="0" w:gutter="0" w:footer="0" w:header="0"/>
          <w:type w:val="continuous"/>
        </w:sectPr>
      </w:pPr>
    </w:p>
    <w:bookmarkStart w:id="20" w:name="page21"/>
    <w:bookmarkEnd w:id="20"/>
    <w:p>
      <w:pPr>
        <w:ind w:right="40"/>
        <w:spacing w:after="0" w:line="276" w:lineRule="auto"/>
        <w:rPr>
          <w:sz w:val="20"/>
          <w:szCs w:val="20"/>
          <w:color w:val="auto"/>
        </w:rPr>
      </w:pPr>
      <w:r>
        <w:rPr>
          <w:rFonts w:ascii="Arial" w:cs="Arial" w:eastAsia="Arial" w:hAnsi="Arial"/>
          <w:sz w:val="20"/>
          <w:szCs w:val="20"/>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In addition, we will likely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a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auto"/>
        </w:rPr>
        <w:t>The acquisition or licensing of pharmaceutical products is also very competitive. If we seek to acquire or license products, we will face substantial competition from a number of more established companies, some of which have acknowledged strategies to license or acquire products and many of which are bigger than us and have more institutional experience and greater cash flows than we have. These more established companies may have competitive advantages over us, as may other emerging companies taking similar or different approaches to product licenses and/or acquisitions. In addition, a number of established research-based pharmaceutical and biotechnology companies may acquire products in late stages of development to augment their internal product lines, which may provide those companies with an even greater competitive advantage.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and Supply</w:t>
      </w:r>
    </w:p>
    <w:p>
      <w:pPr>
        <w:spacing w:after="0" w:line="248" w:lineRule="exact"/>
        <w:rPr>
          <w:sz w:val="20"/>
          <w:szCs w:val="20"/>
          <w:color w:val="auto"/>
        </w:rPr>
      </w:pPr>
    </w:p>
    <w:p>
      <w:pPr>
        <w:ind w:right="240"/>
        <w:spacing w:after="0" w:line="254" w:lineRule="auto"/>
        <w:rPr>
          <w:sz w:val="20"/>
          <w:szCs w:val="20"/>
          <w:color w:val="auto"/>
        </w:rPr>
      </w:pPr>
      <w:r>
        <w:rPr>
          <w:rFonts w:ascii="Arial" w:cs="Arial" w:eastAsia="Arial" w:hAnsi="Arial"/>
          <w:sz w:val="22"/>
          <w:szCs w:val="22"/>
          <w:color w:val="auto"/>
        </w:rPr>
        <w:t>We do not own or operate, and currently have no plans to establish, any manufacturing facilities.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99" w:lineRule="exact"/>
        <w:rPr>
          <w:sz w:val="20"/>
          <w:szCs w:val="20"/>
          <w:color w:val="auto"/>
        </w:rPr>
      </w:pPr>
    </w:p>
    <w:p>
      <w:pPr>
        <w:ind w:right="20"/>
        <w:spacing w:after="0" w:line="254" w:lineRule="auto"/>
        <w:rPr>
          <w:sz w:val="20"/>
          <w:szCs w:val="20"/>
          <w:color w:val="auto"/>
        </w:rPr>
      </w:pPr>
      <w:r>
        <w:rPr>
          <w:rFonts w:ascii="Arial" w:cs="Arial" w:eastAsia="Arial" w:hAnsi="Arial"/>
          <w:sz w:val="22"/>
          <w:szCs w:val="22"/>
          <w:color w:val="auto"/>
        </w:rPr>
        <w:t>All of our product candidates are small molecules and are manufactured via synthetic processes from available starting materials. The chemistry appears amenable to scale up and does not currently require unusual equipment in the manufacturing process. We expect to continue to develop product candidates that can be produced cost-effectively at third-party contract manufacturing organizations (CMOs).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Commercialization</w:t>
      </w:r>
    </w:p>
    <w:p>
      <w:pPr>
        <w:spacing w:after="0" w:line="248"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product candidates are being developed. Outside the United States, we may enter into distribution and other marketing arrangements with third parties for any of our product candidates that obtain marketing approval.</w:t>
      </w:r>
    </w:p>
    <w:p>
      <w:pPr>
        <w:sectPr>
          <w:pgSz w:w="11880" w:h="15480" w:orient="portrait"/>
          <w:cols w:equalWidth="0" w:num="1">
            <w:col w:w="10220"/>
          </w:cols>
          <w:pgMar w:left="820" w:top="5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220"/>
          </w:cols>
          <w:pgMar w:left="820" w:top="590" w:right="840" w:bottom="0" w:gutter="0" w:footer="0" w:header="0"/>
          <w:type w:val="continuous"/>
        </w:sectPr>
      </w:pPr>
    </w:p>
    <w:bookmarkStart w:id="21" w:name="page22"/>
    <w:bookmarkEnd w:id="21"/>
    <w:p>
      <w:pPr>
        <w:ind w:right="220"/>
        <w:spacing w:after="0" w:line="306" w:lineRule="auto"/>
        <w:rPr>
          <w:sz w:val="20"/>
          <w:szCs w:val="20"/>
          <w:color w:val="auto"/>
        </w:rPr>
      </w:pPr>
      <w:r>
        <w:rPr>
          <w:rFonts w:ascii="Arial" w:cs="Arial" w:eastAsia="Arial" w:hAnsi="Arial"/>
          <w:sz w:val="19"/>
          <w:szCs w:val="19"/>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248"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are considered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and any issued patents we may obtain do not guarantee us the right to practice our technology in relation to the commercialization of our products. We also cannot predict the breadth of claims that may be allowed or enforced in any patents we may own or in-license in the future. Any issued patents that we own, or may own or in-license in the future may be challenged, invalidated, circumvented or have the scope of their claims narrowed.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U.S. Patent and Trademark Office (USPTO) to determine priority of invention, which could result in substantial costs to us, even if the eventual outcome is favorable to us, which is highly unpredictable.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ectPr>
          <w:pgSz w:w="11880" w:h="15480" w:orient="portrait"/>
          <w:cols w:equalWidth="0" w:num="1">
            <w:col w:w="10200"/>
          </w:cols>
          <w:pgMar w:left="820" w:top="5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200"/>
          </w:cols>
          <w:pgMar w:left="820" w:top="590" w:right="860" w:bottom="0" w:gutter="0" w:footer="0" w:header="0"/>
          <w:type w:val="continuous"/>
        </w:sectPr>
      </w:pPr>
    </w:p>
    <w:bookmarkStart w:id="22" w:name="page23"/>
    <w:bookmarkEnd w:id="22"/>
    <w:p>
      <w:pPr>
        <w:spacing w:after="0" w:line="287" w:lineRule="auto"/>
        <w:rPr>
          <w:sz w:val="20"/>
          <w:szCs w:val="20"/>
          <w:color w:val="auto"/>
        </w:rPr>
      </w:pPr>
      <w:r>
        <w:rPr>
          <w:rFonts w:ascii="Arial" w:cs="Arial" w:eastAsia="Arial" w:hAnsi="Arial"/>
          <w:sz w:val="19"/>
          <w:szCs w:val="19"/>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total patent term, including the restoration period, must not exceed 14 years following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 In the future, if our product candidates receive approval by the FDA, we expect to apply for patent term extensions on any issued patents covering those products, depending upon the length of the clinical studies for each product and other factors. There can be no assurance that our pending patent applications will issue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200" w:lineRule="exact"/>
        <w:rPr>
          <w:sz w:val="20"/>
          <w:szCs w:val="20"/>
          <w:color w:val="auto"/>
        </w:rPr>
      </w:pP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As of March 11, 2026, we own four U.S. provisional patent applications, eight U.S. patent applications, and two issued U.S. patents. We also own nine Patent Cooperation Treaty (PCT) patent applications, 127 foreign patent applications, and 18 issued foreign patents. Any U.S. or foreign patent issuing from these patent applications would be scheduled to expire from 2039 to 2046, excluding any additional term for patent term adjustment or patent term extension, and assuming that conversions are timely made based upon U.S. provisional patent applications, that national phase entries are timely made based upon the pending PCT applications, and the payment of all applicable maintenance or annuity fees. Below is an overview of patent applications covering silevertinib (formerly BDTX-1535), BDTX-4933, BDTX-4876, and our MAP drug discovery engine.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Silevertinib</w:t>
      </w: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As of March 11, 2026, we own four U.S. provisional patent applications, four U.S. patent applications, one issued U.S. patent, six PCT patent applications, 51 foreign patent applications, and 17 issued foreign patents that cover our non-small cell lung cancer and glioblastoma program, including the composition of matter for silevertinib, metabolites of silevertinib, formulation of silevertinib, polymorphs of silevertinib, as well as methods of using and making silevertinib. Any U.S. or foreign patent issued from these pending applications would be scheduled to expire between 2040 and 2046, assuming that conversions are timely made based upon U.S. provisional patent applications, and that national phase entries are timely made based upon the pending PCT applications, excluding any additional term for patent term adjustment or patent term extension.</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240"/>
          </w:cols>
          <w:pgMar w:left="820" w:top="590" w:right="82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2"/>
          <w:szCs w:val="22"/>
          <w:b w:val="1"/>
          <w:bCs w:val="1"/>
          <w:i w:val="1"/>
          <w:iCs w:val="1"/>
          <w:color w:val="auto"/>
        </w:rPr>
        <w:t>BDTX-4933</w:t>
      </w:r>
    </w:p>
    <w:p>
      <w:pPr>
        <w:spacing w:after="0" w:line="245" w:lineRule="exact"/>
        <w:rPr>
          <w:sz w:val="20"/>
          <w:szCs w:val="20"/>
          <w:color w:val="auto"/>
        </w:rPr>
      </w:pPr>
    </w:p>
    <w:p>
      <w:pPr>
        <w:ind w:right="100"/>
        <w:spacing w:after="0" w:line="295" w:lineRule="auto"/>
        <w:rPr>
          <w:sz w:val="20"/>
          <w:szCs w:val="20"/>
          <w:color w:val="auto"/>
        </w:rPr>
      </w:pPr>
      <w:r>
        <w:rPr>
          <w:rFonts w:ascii="Arial" w:cs="Arial" w:eastAsia="Arial" w:hAnsi="Arial"/>
          <w:sz w:val="19"/>
          <w:szCs w:val="19"/>
          <w:color w:val="auto"/>
        </w:rPr>
        <w:t>As of March 11, 2026, we own two U.S. patent applications, two PCT patent applications, and 66 foreign patent applications that cover the BRAF program licensed to Servier pursuant to the license agreement entered in the first quarter of 2025, including the composition of matter for BDTX-4933, polymorphs of BDTX-4933, formulations of BDTX-4933, as well as methods of using and making BDTX-4933. Any U.S. or foreign patent issued from these pending applications would be scheduled to expire between 2042 and 2045, assuming that conversions are timely made based upon U.S. provisional patent applications, and that national phase entries are timely made based upon the pending PCT applications, excluding any additional term for patent term adjustment or patent term extension.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BDTX-4876</w:t>
      </w:r>
    </w:p>
    <w:p>
      <w:pPr>
        <w:spacing w:after="0" w:line="245"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As of March 11, 2026, we own one U.S. patent application, one PCT patent application, ten foreign patent applications, and one foreign patent that cover our FGFR program, including the composition of matter for BDTX-4876, polymorphs of BDTX-4876, as well as methods of using and making BDTX-4876. Any U.S. or foreign patent issued from these pending applications would be scheduled to expire between 2042 and 2044, assuming that conversions are timely made based upon U.S. provisional patent applications, and that national phase entries are timely made based upon the pending PCT applications, excluding any additional term for patent term adjustment or patent term extension.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MAP drug discovery engine</w:t>
      </w:r>
    </w:p>
    <w:p>
      <w:pPr>
        <w:spacing w:after="0" w:line="245" w:lineRule="exact"/>
        <w:rPr>
          <w:sz w:val="20"/>
          <w:szCs w:val="20"/>
          <w:color w:val="auto"/>
        </w:rPr>
      </w:pPr>
    </w:p>
    <w:p>
      <w:pPr>
        <w:jc w:val="both"/>
        <w:ind w:right="300"/>
        <w:spacing w:after="0" w:line="318" w:lineRule="auto"/>
        <w:rPr>
          <w:sz w:val="20"/>
          <w:szCs w:val="20"/>
          <w:color w:val="auto"/>
        </w:rPr>
      </w:pPr>
      <w:r>
        <w:rPr>
          <w:rFonts w:ascii="Arial" w:cs="Arial" w:eastAsia="Arial" w:hAnsi="Arial"/>
          <w:sz w:val="19"/>
          <w:szCs w:val="19"/>
          <w:color w:val="auto"/>
        </w:rPr>
        <w:t>As of March 11, 2026, we own one U.S. patent application that covers our MAP drug discovery engine and the use thereof in developing and applying therapeutics. Any U.S. patent issued from this U.S. patent application would be scheduled to expire in 2040, excluding any additional term for patent term adjustment or patent term extension.</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Prosecution is a lengthy process, during which the scope of the claims initially submitted for examination by the USPTO are often significantly narrowed by the time they issue, if they issue at all.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future patent applications for silevertinib, BDTX-4933, BDTX-4876, or any of our other product candidates or technology will result in the issuance of patents that effectively protect silevertinib, BDTX-4933, BDTX-4876, or our other product candidates or technology. If we do not successfully obtain patent protection, or, even if we do obtain patent protection, if the scope of the patent protection we or our potential licensors obtain with respect to silevertinib, BDTX-4933, BDTX-4876, or our other product candidates or technology is not sufficiently broad, we will be unable to prevent others from using our technology or from developing or commercializing technology and products similar or identical to ours or other competing products and technologies. For more information regarding the risks related to our intellectual property, please see “Risk Factors—Risks Related to our Intellectual Property.”</w:t>
      </w:r>
    </w:p>
    <w:p>
      <w:pPr>
        <w:sectPr>
          <w:pgSz w:w="11880" w:h="15480" w:orient="portrait"/>
          <w:cols w:equalWidth="0" w:num="1">
            <w:col w:w="10240"/>
          </w:cols>
          <w:pgMar w:left="820" w:top="58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240"/>
          </w:cols>
          <w:pgMar w:left="820" w:top="586" w:right="820" w:bottom="0" w:gutter="0" w:footer="0" w:header="0"/>
          <w:type w:val="continuous"/>
        </w:sectPr>
      </w:pPr>
    </w:p>
    <w:bookmarkStart w:id="24" w:name="page25"/>
    <w:bookmarkEnd w:id="24"/>
    <w:p>
      <w:pPr>
        <w:spacing w:after="0" w:line="287" w:lineRule="auto"/>
        <w:rPr>
          <w:sz w:val="20"/>
          <w:szCs w:val="20"/>
          <w:color w:val="auto"/>
        </w:rPr>
      </w:pPr>
      <w:r>
        <w:rPr>
          <w:rFonts w:ascii="Arial" w:cs="Arial" w:eastAsia="Arial" w:hAnsi="Arial"/>
          <w:sz w:val="19"/>
          <w:szCs w:val="19"/>
          <w:color w:val="auto"/>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248"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The FDA and other regulatory authorities at federal, state and local levels, as well as in foreign countries, including the European Union (EU),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71"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In the United States, where we are initially focusing our drug development, the FDA regulates drug products under the U.S. Federal Food, Drug and Cosmetic Act (FD&amp;C Act), its implementing regulations and other laws. Our product candidates are early-stage and none of our product candidates has been approved by the FDA for marketing in the United States.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 brought by the FDA and the U.S. Department of Justice or other governmental entities.</w:t>
      </w:r>
    </w:p>
    <w:p>
      <w:pPr>
        <w:spacing w:after="0" w:line="189" w:lineRule="exact"/>
        <w:rPr>
          <w:sz w:val="20"/>
          <w:szCs w:val="20"/>
          <w:color w:val="auto"/>
        </w:rPr>
      </w:pPr>
    </w:p>
    <w:p>
      <w:pPr>
        <w:ind w:right="120"/>
        <w:spacing w:after="0" w:line="271" w:lineRule="auto"/>
        <w:rPr>
          <w:sz w:val="20"/>
          <w:szCs w:val="20"/>
          <w:color w:val="auto"/>
        </w:rPr>
      </w:pPr>
      <w:r>
        <w:rPr>
          <w:rFonts w:ascii="Arial" w:cs="Arial" w:eastAsia="Arial" w:hAnsi="Arial"/>
          <w:sz w:val="22"/>
          <w:szCs w:val="22"/>
          <w:color w:val="auto"/>
        </w:rPr>
        <w:t>The process required by the FDA before our product candidates are approved as drugs for therapeutic indications and may be marketed in the United States generally involves the following:</w:t>
      </w:r>
    </w:p>
    <w:p>
      <w:pPr>
        <w:spacing w:after="0" w:line="64" w:lineRule="exact"/>
        <w:rPr>
          <w:sz w:val="20"/>
          <w:szCs w:val="20"/>
          <w:color w:val="auto"/>
        </w:rPr>
      </w:pPr>
    </w:p>
    <w:p>
      <w:pPr>
        <w:ind w:left="720" w:right="640" w:hanging="363"/>
        <w:spacing w:after="0" w:line="271" w:lineRule="auto"/>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completion of extensive preclinical studies in accordance with applicable regulations, including studies conducted in accordance with GLP requirements;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submission to the FDA of an IND application, which must become effective before clinical trials may begin;</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240"/>
          </w:cols>
          <w:pgMar w:left="820" w:top="590" w:right="820" w:bottom="0" w:gutter="0" w:footer="0" w:header="0"/>
          <w:type w:val="continuous"/>
        </w:sectPr>
      </w:pPr>
    </w:p>
    <w:bookmarkStart w:id="25" w:name="page26"/>
    <w:bookmarkEnd w:id="25"/>
    <w:p>
      <w:pPr>
        <w:ind w:left="720" w:right="320" w:hanging="363"/>
        <w:spacing w:after="0" w:line="271" w:lineRule="auto"/>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approval by an Institutional Review Board (IRB) or independent ethics committee at each clinical trial site before each trial may be initiated;</w:t>
      </w:r>
    </w:p>
    <w:p>
      <w:pPr>
        <w:spacing w:after="0" w:line="63" w:lineRule="exact"/>
        <w:rPr>
          <w:rFonts w:ascii="Arial" w:cs="Arial" w:eastAsia="Arial" w:hAnsi="Arial"/>
          <w:sz w:val="22"/>
          <w:szCs w:val="22"/>
          <w:color w:val="auto"/>
        </w:rPr>
      </w:pPr>
    </w:p>
    <w:p>
      <w:pPr>
        <w:jc w:val="both"/>
        <w:ind w:left="720" w:right="320" w:hanging="363"/>
        <w:spacing w:after="0" w:line="296" w:lineRule="auto"/>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performance of adequate and well-controlled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42" w:lineRule="exact"/>
        <w:rPr>
          <w:rFonts w:ascii="Arial" w:cs="Arial" w:eastAsia="Arial" w:hAnsi="Arial"/>
          <w:sz w:val="20"/>
          <w:szCs w:val="20"/>
          <w:color w:val="auto"/>
        </w:rPr>
      </w:pPr>
    </w:p>
    <w:p>
      <w:pPr>
        <w:ind w:left="720" w:hanging="363"/>
        <w:spacing w:after="0"/>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submission to the FDA of a New Drug Application (NDA);</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 determination by the FDA within 60 days of its receipt of an NDA, to accept the filing for review;</w:t>
      </w:r>
    </w:p>
    <w:p>
      <w:pPr>
        <w:spacing w:after="0" w:line="123" w:lineRule="exact"/>
        <w:rPr>
          <w:rFonts w:ascii="Arial" w:cs="Arial" w:eastAsia="Arial" w:hAnsi="Arial"/>
          <w:sz w:val="22"/>
          <w:szCs w:val="22"/>
          <w:color w:val="auto"/>
        </w:rPr>
      </w:pPr>
    </w:p>
    <w:p>
      <w:pPr>
        <w:ind w:left="720" w:right="60" w:hanging="363"/>
        <w:spacing w:after="0" w:line="254" w:lineRule="auto"/>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satisfactory completion of one or more FDA pre-approval inspections of the manufacturing facility or facilities where the drug will be produced to assess compliance with current good manufacturing practices, or cGMP, requirements to assure that the facilities, methods and controls are adequate to preserve the drug’s identity, strength, quality and purity;</w:t>
      </w:r>
    </w:p>
    <w:p>
      <w:pPr>
        <w:spacing w:after="0" w:line="81" w:lineRule="exact"/>
        <w:rPr>
          <w:rFonts w:ascii="Arial" w:cs="Arial" w:eastAsia="Arial" w:hAnsi="Arial"/>
          <w:sz w:val="22"/>
          <w:szCs w:val="22"/>
          <w:color w:val="auto"/>
        </w:rPr>
      </w:pPr>
    </w:p>
    <w:p>
      <w:pPr>
        <w:ind w:left="720" w:hanging="363"/>
        <w:spacing w:after="0"/>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potential FDA audit of the clinical trial sites that generated the data in support of the NDA;</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payment of user fees for FDA review of the NDA; and</w:t>
      </w:r>
    </w:p>
    <w:p>
      <w:pPr>
        <w:spacing w:after="0" w:line="123" w:lineRule="exact"/>
        <w:rPr>
          <w:rFonts w:ascii="Arial" w:cs="Arial" w:eastAsia="Arial" w:hAnsi="Arial"/>
          <w:sz w:val="22"/>
          <w:szCs w:val="22"/>
          <w:color w:val="auto"/>
        </w:rPr>
      </w:pPr>
    </w:p>
    <w:p>
      <w:pPr>
        <w:ind w:left="720" w:right="40" w:hanging="363"/>
        <w:spacing w:after="0" w:line="271" w:lineRule="auto"/>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FDA review and approval of the NDA, including consideration of the views of any FDA advisory committee, prior to any commercial marketing or sale of the drug in the United States.</w:t>
      </w:r>
    </w:p>
    <w:p>
      <w:pPr>
        <w:spacing w:after="0" w:line="181" w:lineRule="exact"/>
        <w:rPr>
          <w:sz w:val="20"/>
          <w:szCs w:val="20"/>
          <w:color w:val="auto"/>
        </w:rPr>
      </w:pPr>
    </w:p>
    <w:p>
      <w:pPr>
        <w:ind w:right="340"/>
        <w:spacing w:after="0" w:line="322" w:lineRule="auto"/>
        <w:rPr>
          <w:sz w:val="20"/>
          <w:szCs w:val="20"/>
          <w:color w:val="auto"/>
        </w:rPr>
      </w:pPr>
      <w:r>
        <w:rPr>
          <w:rFonts w:ascii="Arial" w:cs="Arial" w:eastAsia="Arial" w:hAnsi="Arial"/>
          <w:sz w:val="20"/>
          <w:szCs w:val="20"/>
          <w:color w:val="auto"/>
        </w:rPr>
        <w:t>The testing and approval process requires substantial time, effort and financial resources, and we cannot be certain that any approvals for our product candidates will be granted on a timely basis, if at all.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Preclinical and clinical trials for drugs</w:t>
      </w:r>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 xml:space="preserve">Before testing any drug in humans, the product candidate must undergo rigorous preclinical testing. Preclinical studies include laboratory evaluations of drug chemistry, formulation and stability, as well as </w:t>
      </w:r>
      <w:r>
        <w:rPr>
          <w:rFonts w:ascii="Arial" w:cs="Arial" w:eastAsia="Arial" w:hAnsi="Arial"/>
          <w:sz w:val="19"/>
          <w:szCs w:val="19"/>
          <w:b w:val="1"/>
          <w:bCs w:val="1"/>
          <w:i w:val="1"/>
          <w:iCs w:val="1"/>
          <w:color w:val="auto"/>
        </w:rPr>
        <w:t>in vitro</w:t>
      </w:r>
      <w:r>
        <w:rPr>
          <w:rFonts w:ascii="Arial" w:cs="Arial" w:eastAsia="Arial" w:hAnsi="Arial"/>
          <w:sz w:val="19"/>
          <w:szCs w:val="19"/>
          <w:color w:val="auto"/>
        </w:rPr>
        <w:t xml:space="preserve">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ectPr>
          <w:pgSz w:w="11880" w:h="15480" w:orient="portrait"/>
          <w:cols w:equalWidth="0" w:num="1">
            <w:col w:w="10220"/>
          </w:cols>
          <w:pgMar w:left="820" w:top="5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220"/>
          </w:cols>
          <w:pgMar w:left="820" w:top="590" w:right="840" w:bottom="0" w:gutter="0" w:footer="0" w:header="0"/>
          <w:type w:val="continuous"/>
        </w:sectPr>
      </w:pPr>
    </w:p>
    <w:bookmarkStart w:id="26" w:name="page27"/>
    <w:bookmarkEnd w:id="26"/>
    <w:p>
      <w:pPr>
        <w:spacing w:after="0" w:line="273" w:lineRule="auto"/>
        <w:rPr>
          <w:sz w:val="20"/>
          <w:szCs w:val="20"/>
          <w:color w:val="auto"/>
        </w:rPr>
      </w:pPr>
      <w:r>
        <w:rPr>
          <w:rFonts w:ascii="Arial" w:cs="Arial" w:eastAsia="Arial" w:hAnsi="Arial"/>
          <w:sz w:val="20"/>
          <w:szCs w:val="20"/>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clinical trials results, must be submitted within specific timeframes for publication on the www.clinicaltrials.gov website.</w:t>
      </w:r>
    </w:p>
    <w:p>
      <w:pPr>
        <w:spacing w:after="0" w:line="189" w:lineRule="exact"/>
        <w:rPr>
          <w:sz w:val="20"/>
          <w:szCs w:val="20"/>
          <w:color w:val="auto"/>
        </w:rPr>
      </w:pPr>
    </w:p>
    <w:p>
      <w:pPr>
        <w:ind w:right="220"/>
        <w:spacing w:after="0" w:line="249" w:lineRule="auto"/>
        <w:rPr>
          <w:sz w:val="20"/>
          <w:szCs w:val="20"/>
          <w:color w:val="auto"/>
        </w:rPr>
      </w:pPr>
      <w:r>
        <w:rPr>
          <w:rFonts w:ascii="Arial" w:cs="Arial" w:eastAsia="Arial" w:hAnsi="Arial"/>
          <w:sz w:val="22"/>
          <w:szCs w:val="22"/>
          <w:color w:val="auto"/>
        </w:rPr>
        <w:t>While we plan to conduct any international clinical trials under our INDs we obtain with the FDA in the future, a sponsor who wishes to conduct a clinical trial outside of the United States may, but need not, obtain FDA authorization to conduct the clinical trial under an IND. If a foreign clinical trial is not conducted under an IND, the sponsor must submit data from the clinical trial to the FDA in support of an NDA.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209" w:lineRule="exact"/>
        <w:rPr>
          <w:sz w:val="20"/>
          <w:szCs w:val="20"/>
          <w:color w:val="auto"/>
        </w:rPr>
      </w:pPr>
    </w:p>
    <w:p>
      <w:pPr>
        <w:ind w:right="180"/>
        <w:spacing w:after="0" w:line="271" w:lineRule="auto"/>
        <w:rPr>
          <w:sz w:val="20"/>
          <w:szCs w:val="20"/>
          <w:color w:val="auto"/>
        </w:rPr>
      </w:pPr>
      <w:r>
        <w:rPr>
          <w:rFonts w:ascii="Arial" w:cs="Arial" w:eastAsia="Arial" w:hAnsi="Arial"/>
          <w:sz w:val="22"/>
          <w:szCs w:val="22"/>
          <w:color w:val="auto"/>
        </w:rPr>
        <w:t>Clinical trials to evaluate therapeutic indications to support NDAs for marketing approval are typically conducted in three sequential phases, which may overlap.</w:t>
      </w:r>
    </w:p>
    <w:p>
      <w:pPr>
        <w:spacing w:after="0" w:line="60" w:lineRule="exact"/>
        <w:rPr>
          <w:sz w:val="20"/>
          <w:szCs w:val="20"/>
          <w:color w:val="auto"/>
        </w:rPr>
      </w:pPr>
    </w:p>
    <w:p>
      <w:pPr>
        <w:ind w:left="720" w:right="100" w:hanging="363"/>
        <w:spacing w:after="0" w:line="252" w:lineRule="auto"/>
        <w:tabs>
          <w:tab w:leader="none" w:pos="720"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color w:val="auto"/>
        </w:rPr>
        <w:t>Phase 1</w:t>
      </w:r>
      <w:r>
        <w:rPr>
          <w:rFonts w:ascii="Arial" w:cs="Arial" w:eastAsia="Arial" w:hAnsi="Arial"/>
          <w:sz w:val="22"/>
          <w:szCs w:val="22"/>
          <w:color w:val="auto"/>
        </w:rPr>
        <w:t>—Phase 1 clinical trials involve initial introduction of the investigational product into healthy human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83" w:lineRule="exact"/>
        <w:rPr>
          <w:rFonts w:ascii="Arial" w:cs="Arial" w:eastAsia="Arial" w:hAnsi="Arial"/>
          <w:sz w:val="22"/>
          <w:szCs w:val="22"/>
          <w:color w:val="auto"/>
        </w:rPr>
      </w:pPr>
    </w:p>
    <w:p>
      <w:pPr>
        <w:ind w:left="720" w:right="120" w:hanging="363"/>
        <w:spacing w:after="0" w:line="298"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Phase 2</w:t>
      </w:r>
      <w:r>
        <w:rPr>
          <w:rFonts w:ascii="Arial" w:cs="Arial" w:eastAsia="Arial" w:hAnsi="Arial"/>
          <w:sz w:val="20"/>
          <w:szCs w:val="20"/>
          <w:color w:val="auto"/>
        </w:rPr>
        <w:t>—Phase 2 clinical trials typically involve administration of the investigational product to a limited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patient population with a specified disease or condition to evaluate the preliminary efficacy, optimal dosages and dosing schedule and to identify possible adverse side effects and safety risks.</w:t>
      </w:r>
    </w:p>
    <w:p>
      <w:pPr>
        <w:spacing w:after="0" w:line="37" w:lineRule="exact"/>
        <w:rPr>
          <w:rFonts w:ascii="Arial" w:cs="Arial" w:eastAsia="Arial" w:hAnsi="Arial"/>
          <w:sz w:val="20"/>
          <w:szCs w:val="20"/>
          <w:color w:val="auto"/>
        </w:rPr>
      </w:pPr>
    </w:p>
    <w:p>
      <w:pPr>
        <w:ind w:left="720" w:right="20" w:hanging="363"/>
        <w:spacing w:after="0" w:line="284"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Phase 3</w:t>
      </w:r>
      <w:r>
        <w:rPr>
          <w:rFonts w:ascii="Arial" w:cs="Arial" w:eastAsia="Arial" w:hAnsi="Arial"/>
          <w:sz w:val="20"/>
          <w:szCs w:val="20"/>
          <w:color w:val="auto"/>
        </w:rPr>
        <w:t>—Phase 3 clinical trials typically involve administration of the investigational product to an expanded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172"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ectPr>
          <w:pgSz w:w="11880" w:h="15480" w:orient="portrait"/>
          <w:cols w:equalWidth="0" w:num="1">
            <w:col w:w="10220"/>
          </w:cols>
          <w:pgMar w:left="820" w:top="5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220"/>
          </w:cols>
          <w:pgMar w:left="820" w:top="590" w:right="840" w:bottom="0" w:gutter="0" w:footer="0" w:header="0"/>
          <w:type w:val="continuous"/>
        </w:sectPr>
      </w:pPr>
    </w:p>
    <w:bookmarkStart w:id="27" w:name="page28"/>
    <w:bookmarkEnd w:id="27"/>
    <w:p>
      <w:pPr>
        <w:ind w:right="100"/>
        <w:spacing w:after="0" w:line="251" w:lineRule="auto"/>
        <w:rPr>
          <w:sz w:val="20"/>
          <w:szCs w:val="20"/>
          <w:color w:val="auto"/>
        </w:rPr>
      </w:pPr>
      <w:r>
        <w:rPr>
          <w:rFonts w:ascii="Arial" w:cs="Arial" w:eastAsia="Arial" w:hAnsi="Arial"/>
          <w:sz w:val="22"/>
          <w:szCs w:val="22"/>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20"/>
          <w:szCs w:val="20"/>
          <w:b w:val="1"/>
          <w:bCs w:val="1"/>
          <w:i w:val="1"/>
          <w:iCs w:val="1"/>
          <w:color w:val="auto"/>
        </w:rPr>
        <w:t>in vitro</w:t>
      </w:r>
      <w:r>
        <w:rPr>
          <w:rFonts w:ascii="Arial" w:cs="Arial" w:eastAsia="Arial" w:hAnsi="Arial"/>
          <w:sz w:val="20"/>
          <w:szCs w:val="20"/>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1"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 marketing approval for drugs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The marketing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82"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auto"/>
        </w:rPr>
        <w:t>Further, under PDUFA, as amended, each NDA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240"/>
          </w:cols>
          <w:pgMar w:left="820" w:top="590" w:right="820" w:bottom="0" w:gutter="0" w:footer="0" w:header="0"/>
          <w:type w:val="continuous"/>
        </w:sectPr>
      </w:pPr>
    </w:p>
    <w:bookmarkStart w:id="28" w:name="page29"/>
    <w:bookmarkEnd w:id="28"/>
    <w:p>
      <w:pPr>
        <w:ind w:right="40"/>
        <w:spacing w:after="0" w:line="254" w:lineRule="auto"/>
        <w:rPr>
          <w:sz w:val="20"/>
          <w:szCs w:val="20"/>
          <w:color w:val="auto"/>
        </w:rPr>
      </w:pPr>
      <w:r>
        <w:rPr>
          <w:rFonts w:ascii="Arial" w:cs="Arial" w:eastAsia="Arial" w:hAnsi="Arial"/>
          <w:sz w:val="22"/>
          <w:szCs w:val="22"/>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risk-minimization tools.</w:t>
      </w:r>
    </w:p>
    <w:p>
      <w:pPr>
        <w:spacing w:after="0" w:line="199"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6"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Sponsor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11" w:lineRule="exact"/>
        <w:rPr>
          <w:sz w:val="20"/>
          <w:szCs w:val="20"/>
          <w:color w:val="auto"/>
        </w:rPr>
      </w:pPr>
    </w:p>
    <w:p>
      <w:pPr>
        <w:ind w:right="260"/>
        <w:spacing w:after="0" w:line="292" w:lineRule="auto"/>
        <w:rPr>
          <w:sz w:val="20"/>
          <w:szCs w:val="20"/>
          <w:color w:val="auto"/>
        </w:rPr>
      </w:pPr>
      <w:r>
        <w:rPr>
          <w:rFonts w:ascii="Arial" w:cs="Arial" w:eastAsia="Arial" w:hAnsi="Arial"/>
          <w:sz w:val="19"/>
          <w:szCs w:val="19"/>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Orphan drug designation and exclusivity</w:t>
      </w:r>
    </w:p>
    <w:p>
      <w:pPr>
        <w:spacing w:after="0" w:line="250"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240"/>
          </w:cols>
          <w:pgMar w:left="820" w:top="590" w:right="820" w:bottom="0" w:gutter="0" w:footer="0" w:header="0"/>
          <w:type w:val="continuous"/>
        </w:sectPr>
      </w:pPr>
    </w:p>
    <w:bookmarkStart w:id="29" w:name="page30"/>
    <w:bookmarkEnd w:id="29"/>
    <w:p>
      <w:pPr>
        <w:spacing w:after="0" w:line="289" w:lineRule="auto"/>
        <w:rPr>
          <w:sz w:val="20"/>
          <w:szCs w:val="20"/>
          <w:color w:val="auto"/>
        </w:rPr>
      </w:pPr>
      <w:r>
        <w:rPr>
          <w:rFonts w:ascii="Arial" w:cs="Arial" w:eastAsia="Arial" w:hAnsi="Arial"/>
          <w:sz w:val="19"/>
          <w:szCs w:val="19"/>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approved use or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approved use or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Rare pediatric disease designation and priority review vouchers</w:t>
      </w:r>
    </w:p>
    <w:p>
      <w:pPr>
        <w:spacing w:after="0" w:line="25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Under the FD&amp;C Act, the FDA incentivizes the development of drugs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Under current law, after September 30, 2029, the FDA may not award any rare pediatric disease priority vouchers, although the FDA’s authority to do so could be extended by Congress in the future.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Expedited development and review programs for drugs</w:t>
      </w:r>
    </w:p>
    <w:p>
      <w:pPr>
        <w:spacing w:after="0" w:line="250" w:lineRule="exact"/>
        <w:rPr>
          <w:sz w:val="20"/>
          <w:szCs w:val="20"/>
          <w:color w:val="auto"/>
        </w:rPr>
      </w:pPr>
    </w:p>
    <w:p>
      <w:pPr>
        <w:jc w:val="both"/>
        <w:ind w:right="220"/>
        <w:spacing w:after="0" w:line="283" w:lineRule="auto"/>
        <w:rPr>
          <w:sz w:val="20"/>
          <w:szCs w:val="20"/>
          <w:color w:val="auto"/>
        </w:rPr>
      </w:pPr>
      <w:r>
        <w:rPr>
          <w:rFonts w:ascii="Arial" w:cs="Arial" w:eastAsia="Arial" w:hAnsi="Arial"/>
          <w:sz w:val="20"/>
          <w:szCs w:val="20"/>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73"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ectPr>
          <w:pgSz w:w="11880" w:h="15480" w:orient="portrait"/>
          <w:cols w:equalWidth="0" w:num="1">
            <w:col w:w="10240"/>
          </w:cols>
          <w:pgMar w:left="820" w:top="590" w:right="820" w:bottom="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240"/>
          </w:cols>
          <w:pgMar w:left="820" w:top="590" w:right="820" w:bottom="0" w:gutter="0" w:footer="0" w:header="0"/>
          <w:type w:val="continuous"/>
        </w:sectPr>
      </w:pPr>
    </w:p>
    <w:bookmarkStart w:id="30" w:name="page31"/>
    <w:bookmarkEnd w:id="30"/>
    <w:p>
      <w:pPr>
        <w:ind w:right="80"/>
        <w:spacing w:after="0" w:line="275" w:lineRule="auto"/>
        <w:rPr>
          <w:sz w:val="20"/>
          <w:szCs w:val="20"/>
          <w:color w:val="auto"/>
        </w:rPr>
      </w:pPr>
      <w:r>
        <w:rPr>
          <w:rFonts w:ascii="Arial" w:cs="Arial" w:eastAsia="Arial" w:hAnsi="Arial"/>
          <w:sz w:val="20"/>
          <w:szCs w:val="20"/>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must review an application in six months compared to ten months for a standard review. 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Accelerated approval is usually contingent on a sponsor’s agreement to conduct additional post-approval studies to verify and describe the product’s clinical benefit. Under the Food and Drug Omnibus Reform Act of 2022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FDA, that all advertising and promotional materials that are intended for dissemination or publication within 120 days following marketing approval be submitted to the agency for review during the pre-approval review period. Additionally, after 120 days following marketing approval, all advertising and promotional materials must be submitted at least 30 days prior to the intended time of initial dissemination or publication.</w:t>
      </w:r>
    </w:p>
    <w:p>
      <w:pPr>
        <w:spacing w:after="0" w:line="18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Pediatric information and pediatric exclusivity</w:t>
      </w:r>
    </w:p>
    <w:p>
      <w:pPr>
        <w:spacing w:after="0" w:line="250"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Under the Pediatric Research Equity Act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(FDASIA) amended the FD&amp;C Act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70"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remaining.</w:t>
      </w:r>
    </w:p>
    <w:p>
      <w:pPr>
        <w:sectPr>
          <w:pgSz w:w="11880" w:h="15480" w:orient="portrait"/>
          <w:cols w:equalWidth="0" w:num="1">
            <w:col w:w="10220"/>
          </w:cols>
          <w:pgMar w:left="820" w:top="5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220"/>
          </w:cols>
          <w:pgMar w:left="820" w:top="590" w:right="84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b w:val="1"/>
          <w:bCs w:val="1"/>
          <w:i w:val="1"/>
          <w:iCs w:val="1"/>
          <w:color w:val="auto"/>
        </w:rPr>
        <w:t>U.S. post-approval requirements for drugs</w:t>
      </w:r>
    </w:p>
    <w:p>
      <w:pPr>
        <w:spacing w:after="0" w:line="250"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color w:val="auto"/>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85" w:lineRule="exact"/>
        <w:rPr>
          <w:sz w:val="20"/>
          <w:szCs w:val="20"/>
          <w:color w:val="auto"/>
        </w:rPr>
      </w:pPr>
    </w:p>
    <w:p>
      <w:pPr>
        <w:ind w:right="240"/>
        <w:spacing w:after="0" w:line="296" w:lineRule="auto"/>
        <w:rPr>
          <w:sz w:val="20"/>
          <w:szCs w:val="20"/>
          <w:color w:val="auto"/>
        </w:rPr>
      </w:pPr>
      <w:r>
        <w:rPr>
          <w:rFonts w:ascii="Arial" w:cs="Arial" w:eastAsia="Arial" w:hAnsi="Arial"/>
          <w:sz w:val="20"/>
          <w:szCs w:val="20"/>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55" w:lineRule="exact"/>
        <w:rPr>
          <w:sz w:val="20"/>
          <w:szCs w:val="20"/>
          <w:color w:val="auto"/>
        </w:rPr>
      </w:pPr>
    </w:p>
    <w:p>
      <w:pPr>
        <w:ind w:left="720" w:right="280" w:hanging="363"/>
        <w:spacing w:after="0" w:line="271" w:lineRule="auto"/>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restrictions on the marketing or manufacturing of the product, complete withdrawal of the product from the market or product recalls;</w:t>
      </w:r>
    </w:p>
    <w:p>
      <w:pPr>
        <w:spacing w:after="0" w:line="63" w:lineRule="exact"/>
        <w:rPr>
          <w:rFonts w:ascii="Arial" w:cs="Arial" w:eastAsia="Arial" w:hAnsi="Arial"/>
          <w:sz w:val="22"/>
          <w:szCs w:val="22"/>
          <w:color w:val="auto"/>
        </w:rPr>
      </w:pPr>
    </w:p>
    <w:p>
      <w:pPr>
        <w:ind w:left="720" w:right="60" w:hanging="363"/>
        <w:spacing w:after="0" w:line="271" w:lineRule="auto"/>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safety alerts, Dear Healthcare Provider letters, press releases or other communications containing warnings or other safety information about the product;</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fines, warning letters or holds on post-approval clinical trials;</w:t>
      </w:r>
    </w:p>
    <w:p>
      <w:pPr>
        <w:spacing w:after="0" w:line="123" w:lineRule="exact"/>
        <w:rPr>
          <w:rFonts w:ascii="Arial" w:cs="Arial" w:eastAsia="Arial" w:hAnsi="Arial"/>
          <w:sz w:val="22"/>
          <w:szCs w:val="22"/>
          <w:color w:val="auto"/>
        </w:rPr>
      </w:pPr>
    </w:p>
    <w:p>
      <w:pPr>
        <w:ind w:left="720" w:right="780" w:hanging="363"/>
        <w:spacing w:after="0" w:line="271" w:lineRule="auto"/>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refusal of the FDA to approve applications or supplements to approved applications, or suspension or revocation of product approvals;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product seizure or detention, or refusal to permit the import or export of products;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injunctions or the imposition of civil or criminal penalties; and</w:t>
      </w:r>
    </w:p>
    <w:p>
      <w:pPr>
        <w:spacing w:after="0" w:line="123" w:lineRule="exact"/>
        <w:rPr>
          <w:rFonts w:ascii="Arial" w:cs="Arial" w:eastAsia="Arial" w:hAnsi="Arial"/>
          <w:sz w:val="22"/>
          <w:szCs w:val="22"/>
          <w:color w:val="auto"/>
        </w:rPr>
      </w:pPr>
    </w:p>
    <w:p>
      <w:pPr>
        <w:ind w:left="720" w:right="80" w:hanging="363"/>
        <w:spacing w:after="0" w:line="351" w:lineRule="auto"/>
        <w:tabs>
          <w:tab w:leader="none" w:pos="7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consent decrees, corporate integrity agreements, debarment or exclusion from federal healthcare programs; or mandated modification of promotional materials and labeling and issuance of corrective information.</w:t>
      </w:r>
    </w:p>
    <w:p>
      <w:pPr>
        <w:sectPr>
          <w:pgSz w:w="11880" w:h="15480" w:orient="portrait"/>
          <w:cols w:equalWidth="0" w:num="1">
            <w:col w:w="10240"/>
          </w:cols>
          <w:pgMar w:left="820" w:top="5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240"/>
          </w:cols>
          <w:pgMar w:left="820" w:top="580" w:right="820" w:bottom="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i w:val="1"/>
          <w:iCs w:val="1"/>
          <w:color w:val="auto"/>
        </w:rPr>
        <w:t>Other regulatory matters</w:t>
      </w:r>
    </w:p>
    <w:p>
      <w:pPr>
        <w:spacing w:after="0" w:line="250"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w:t>
      </w:r>
    </w:p>
    <w:p>
      <w:pPr>
        <w:spacing w:after="0" w:line="4" w:lineRule="exact"/>
        <w:rPr>
          <w:sz w:val="20"/>
          <w:szCs w:val="20"/>
          <w:color w:val="auto"/>
        </w:rPr>
      </w:pPr>
    </w:p>
    <w:p>
      <w:pPr>
        <w:ind w:right="280" w:firstLine="4"/>
        <w:spacing w:after="0" w:line="250" w:lineRule="auto"/>
        <w:tabs>
          <w:tab w:leader="none" w:pos="222" w:val="left"/>
        </w:tabs>
        <w:numPr>
          <w:ilvl w:val="0"/>
          <w:numId w:val="14"/>
        </w:numPr>
        <w:rPr>
          <w:rFonts w:ascii="Arial" w:cs="Arial" w:eastAsia="Arial" w:hAnsi="Arial"/>
          <w:sz w:val="22"/>
          <w:szCs w:val="22"/>
          <w:color w:val="auto"/>
        </w:rPr>
      </w:pPr>
      <w:r>
        <w:rPr>
          <w:rFonts w:ascii="Arial" w:cs="Arial" w:eastAsia="Arial" w:hAnsi="Arial"/>
          <w:sz w:val="22"/>
          <w:szCs w:val="22"/>
          <w:color w:val="auto"/>
        </w:rPr>
        <w:t>Health Administration, the Environmental Protection Agency and state and local governments and governmental agencies.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healthcare and privacy laws</w:t>
      </w:r>
    </w:p>
    <w:p>
      <w:pPr>
        <w:spacing w:after="0" w:line="250"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64" w:lineRule="exact"/>
        <w:rPr>
          <w:sz w:val="20"/>
          <w:szCs w:val="20"/>
          <w:color w:val="auto"/>
        </w:rPr>
      </w:pPr>
    </w:p>
    <w:p>
      <w:pPr>
        <w:ind w:left="720" w:hanging="363"/>
        <w:spacing w:after="0" w:line="290" w:lineRule="auto"/>
        <w:tabs>
          <w:tab w:leader="none" w:pos="7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federal Anti-Kickback Statute, which prohibits, among other things, persons and entities from knowingly and willfully soliciting, offering, receiving, paying or providing remuneration (including any kickback, bribe, or rebate), directly or indirectly in cash or in kind, to induce or reward either the referral of an individual for, or the purchase, lease, order, arrangement or recommendation of, any good, facility, item or service, for which payment may be made, in whole or in part, under federal and state healthcare programs such as Medicare and Medicaid. A person or entity does not need to have actual knowledge of the federal Anti-Kickback Statute (AKS)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AKS constitutes a false or fraudulent claim for purposes of the federal False Claims Act (FCA) or federal civil money penalties. There are a number of statutory exceptions and regulatory safe harbors protecting some common activities from prosecution.</w:t>
      </w:r>
    </w:p>
    <w:p>
      <w:pPr>
        <w:spacing w:after="0" w:line="54" w:lineRule="exact"/>
        <w:rPr>
          <w:rFonts w:ascii="Arial" w:cs="Arial" w:eastAsia="Arial" w:hAnsi="Arial"/>
          <w:sz w:val="19"/>
          <w:szCs w:val="19"/>
          <w:color w:val="auto"/>
        </w:rPr>
      </w:pPr>
    </w:p>
    <w:p>
      <w:pPr>
        <w:ind w:left="720" w:right="80" w:hanging="363"/>
        <w:spacing w:after="0" w:line="274"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federal civil and criminal false claims laws, including the FCA, and civil monetary penalty laws which can be enforced through civil whistleblower or qui tam actions, which imposes civil and criminal penalties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to the federal government, with potential liability including mandatory treble damages and significant per-claim penalties.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ectPr>
          <w:pgSz w:w="11880" w:h="15480" w:orient="portrait"/>
          <w:cols w:equalWidth="0" w:num="1">
            <w:col w:w="10240"/>
          </w:cols>
          <w:pgMar w:left="820" w:top="5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240"/>
          </w:cols>
          <w:pgMar w:left="820" w:top="580" w:right="820" w:bottom="0" w:gutter="0" w:footer="0" w:header="0"/>
          <w:type w:val="continuous"/>
        </w:sectPr>
      </w:pPr>
    </w:p>
    <w:bookmarkStart w:id="33" w:name="page34"/>
    <w:bookmarkEnd w:id="33"/>
    <w:p>
      <w:pPr>
        <w:ind w:left="363" w:right="40" w:hanging="363"/>
        <w:spacing w:after="0" w:line="275" w:lineRule="auto"/>
        <w:tabs>
          <w:tab w:leader="none" w:pos="363"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benefits, items or services relating to healthcare matters. Similar to the AKS, a person or entity does not need to have actual knowledge of the statute or specific intent to violate it in order to have committed a violation.</w:t>
      </w:r>
    </w:p>
    <w:p>
      <w:pPr>
        <w:spacing w:after="0" w:line="69" w:lineRule="exact"/>
        <w:rPr>
          <w:rFonts w:ascii="Arial" w:cs="Arial" w:eastAsia="Arial" w:hAnsi="Arial"/>
          <w:sz w:val="20"/>
          <w:szCs w:val="20"/>
          <w:color w:val="auto"/>
        </w:rPr>
      </w:pPr>
    </w:p>
    <w:p>
      <w:pPr>
        <w:ind w:left="363" w:hanging="363"/>
        <w:spacing w:after="0" w:line="273" w:lineRule="auto"/>
        <w:tabs>
          <w:tab w:leader="none" w:pos="363" w:val="left"/>
        </w:tabs>
        <w:numPr>
          <w:ilvl w:val="0"/>
          <w:numId w:val="16"/>
        </w:numPr>
        <w:rPr>
          <w:rFonts w:ascii="Arial" w:cs="Arial" w:eastAsia="Arial" w:hAnsi="Arial"/>
          <w:sz w:val="20"/>
          <w:szCs w:val="20"/>
          <w:color w:val="auto"/>
        </w:rPr>
      </w:pPr>
      <w:r>
        <w:rPr>
          <w:rFonts w:ascii="Arial" w:cs="Arial" w:eastAsia="Arial" w:hAnsi="Arial"/>
          <w:sz w:val="20"/>
          <w:szCs w:val="20"/>
          <w:color w:val="auto"/>
        </w:rPr>
        <w:t>HIPAA, as further amended by the Health Information Technology for Economic and Clinical Health Act of 2009 (HITECH) and their respective implementing regulations, including the Final Omnibus Rule published in January 2013, which impose certain requirements, including mandatory contractual terms, on covered entities subject to the rule, such as health plans, healthcare clearinghouses and certain healthcare providers, as well as their respective business associates and their subcontractors that perform services for them that involve the creation, maintenance, receipt, use, or disclosure of, individually identifiable health information, relating to the privacy, security, and transmission of such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74" w:lineRule="exact"/>
        <w:rPr>
          <w:rFonts w:ascii="Arial" w:cs="Arial" w:eastAsia="Arial" w:hAnsi="Arial"/>
          <w:sz w:val="20"/>
          <w:szCs w:val="20"/>
          <w:color w:val="auto"/>
        </w:rPr>
      </w:pPr>
    </w:p>
    <w:p>
      <w:pPr>
        <w:ind w:left="363" w:right="20" w:hanging="363"/>
        <w:spacing w:after="0" w:line="290" w:lineRule="auto"/>
        <w:tabs>
          <w:tab w:leader="none" w:pos="36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 In addition, many states also require reporting of payments or other transfers of value, many of which differ from each other in significant ways, are often not pre-empted, and may have a more prohibitive effect than the Sunshine Act, thus further complicating compliance efforts.</w:t>
      </w:r>
    </w:p>
    <w:p>
      <w:pPr>
        <w:spacing w:after="0" w:line="54" w:lineRule="exact"/>
        <w:rPr>
          <w:rFonts w:ascii="Arial" w:cs="Arial" w:eastAsia="Arial" w:hAnsi="Arial"/>
          <w:sz w:val="19"/>
          <w:szCs w:val="19"/>
          <w:color w:val="auto"/>
        </w:rPr>
      </w:pPr>
    </w:p>
    <w:p>
      <w:pPr>
        <w:ind w:left="363" w:right="60" w:hanging="363"/>
        <w:spacing w:after="0" w:line="271" w:lineRule="auto"/>
        <w:tabs>
          <w:tab w:leader="none" w:pos="363" w:val="left"/>
        </w:tabs>
        <w:numPr>
          <w:ilvl w:val="0"/>
          <w:numId w:val="16"/>
        </w:numPr>
        <w:rPr>
          <w:rFonts w:ascii="Arial" w:cs="Arial" w:eastAsia="Arial" w:hAnsi="Arial"/>
          <w:sz w:val="22"/>
          <w:szCs w:val="22"/>
          <w:color w:val="auto"/>
        </w:rPr>
      </w:pPr>
      <w:r>
        <w:rPr>
          <w:rFonts w:ascii="Arial" w:cs="Arial" w:eastAsia="Arial" w:hAnsi="Arial"/>
          <w:sz w:val="22"/>
          <w:szCs w:val="22"/>
          <w:color w:val="auto"/>
        </w:rPr>
        <w:t>Federal government price reporting laws, which require us to calculate and report complex pricing metrics in an accurate and timely manner to government programs.</w:t>
      </w:r>
    </w:p>
    <w:p>
      <w:pPr>
        <w:spacing w:after="0" w:line="63" w:lineRule="exact"/>
        <w:rPr>
          <w:rFonts w:ascii="Arial" w:cs="Arial" w:eastAsia="Arial" w:hAnsi="Arial"/>
          <w:sz w:val="22"/>
          <w:szCs w:val="22"/>
          <w:color w:val="auto"/>
        </w:rPr>
      </w:pPr>
    </w:p>
    <w:p>
      <w:pPr>
        <w:ind w:left="363" w:right="140" w:hanging="363"/>
        <w:spacing w:after="0" w:line="271" w:lineRule="auto"/>
        <w:tabs>
          <w:tab w:leader="none" w:pos="363" w:val="left"/>
        </w:tabs>
        <w:numPr>
          <w:ilvl w:val="0"/>
          <w:numId w:val="16"/>
        </w:numPr>
        <w:rPr>
          <w:rFonts w:ascii="Arial" w:cs="Arial" w:eastAsia="Arial" w:hAnsi="Arial"/>
          <w:sz w:val="22"/>
          <w:szCs w:val="22"/>
          <w:color w:val="auto"/>
        </w:rPr>
      </w:pPr>
      <w:r>
        <w:rPr>
          <w:rFonts w:ascii="Arial" w:cs="Arial" w:eastAsia="Arial" w:hAnsi="Arial"/>
          <w:sz w:val="22"/>
          <w:szCs w:val="22"/>
          <w:color w:val="auto"/>
        </w:rPr>
        <w:t>Federal consumer protection and unfair competition laws, which broadly regulate marketplace activities and activities that potentially harm customers.</w:t>
      </w:r>
    </w:p>
    <w:p>
      <w:pPr>
        <w:sectPr>
          <w:pgSz w:w="11880" w:h="15480" w:orient="portrait"/>
          <w:cols w:equalWidth="0" w:num="1">
            <w:col w:w="9823"/>
          </w:cols>
          <w:pgMar w:left="1177" w:top="5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97"/>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823"/>
          </w:cols>
          <w:pgMar w:left="1177" w:top="590" w:right="880" w:bottom="0" w:gutter="0" w:footer="0" w:header="0"/>
          <w:type w:val="continuous"/>
        </w:sectPr>
      </w:pPr>
    </w:p>
    <w:bookmarkStart w:id="34" w:name="page35"/>
    <w:bookmarkEnd w:id="34"/>
    <w:p>
      <w:pPr>
        <w:ind w:right="120"/>
        <w:spacing w:after="0" w:line="273" w:lineRule="auto"/>
        <w:rPr>
          <w:sz w:val="20"/>
          <w:szCs w:val="20"/>
          <w:color w:val="auto"/>
        </w:rPr>
      </w:pPr>
      <w:r>
        <w:rPr>
          <w:rFonts w:ascii="Arial" w:cs="Arial" w:eastAsia="Arial" w:hAnsi="Arial"/>
          <w:sz w:val="20"/>
          <w:szCs w:val="20"/>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the EU’s General Data Protection Regulation (GDPR), and dozens of US state and federal regulations also govern the privacy and security of health information in some circumstances, many of which differ from each other in significant ways and often are not preempted by HIPAA, thus complicating compliance efforts. There are ambiguities as to what is required to comply with these myriad requirements and if we fail to comply with an applicable state law requirement, federal regulation, or foreign privacy regime we could be subject to penalties.</w:t>
      </w:r>
    </w:p>
    <w:p>
      <w:pPr>
        <w:spacing w:after="0" w:line="192" w:lineRule="exact"/>
        <w:rPr>
          <w:sz w:val="20"/>
          <w:szCs w:val="20"/>
          <w:color w:val="auto"/>
        </w:rPr>
      </w:pPr>
    </w:p>
    <w:p>
      <w:pPr>
        <w:ind w:right="260"/>
        <w:spacing w:after="0" w:line="306" w:lineRule="auto"/>
        <w:rPr>
          <w:sz w:val="20"/>
          <w:szCs w:val="20"/>
          <w:color w:val="auto"/>
        </w:rPr>
      </w:pPr>
      <w:r>
        <w:rPr>
          <w:rFonts w:ascii="Arial" w:cs="Arial" w:eastAsia="Arial" w:hAnsi="Arial"/>
          <w:sz w:val="19"/>
          <w:szCs w:val="19"/>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56" w:lineRule="exact"/>
        <w:rPr>
          <w:sz w:val="20"/>
          <w:szCs w:val="20"/>
          <w:color w:val="auto"/>
        </w:rPr>
      </w:pPr>
    </w:p>
    <w:p>
      <w:pPr>
        <w:ind w:right="200"/>
        <w:spacing w:after="0" w:line="280" w:lineRule="auto"/>
        <w:rPr>
          <w:sz w:val="20"/>
          <w:szCs w:val="20"/>
          <w:color w:val="auto"/>
        </w:rPr>
      </w:pPr>
      <w:r>
        <w:rPr>
          <w:rFonts w:ascii="Arial" w:cs="Arial" w:eastAsia="Arial" w:hAnsi="Arial"/>
          <w:sz w:val="20"/>
          <w:szCs w:val="20"/>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individual imprisonment. If any of the above occur, our ability to operate our business and our results of operations could be adversely affected.</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240"/>
          </w:cols>
          <w:pgMar w:left="820" w:top="590" w:right="82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i w:val="1"/>
          <w:iCs w:val="1"/>
          <w:color w:val="auto"/>
        </w:rPr>
        <w:t>Insurance Coverage and Reimbursement</w:t>
      </w:r>
    </w:p>
    <w:p>
      <w:pPr>
        <w:spacing w:after="0" w:line="250"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Current and future healthcare reform legislation</w:t>
      </w:r>
    </w:p>
    <w:p>
      <w:pPr>
        <w:spacing w:after="0" w:line="250" w:lineRule="exact"/>
        <w:rPr>
          <w:sz w:val="20"/>
          <w:szCs w:val="20"/>
          <w:color w:val="auto"/>
        </w:rPr>
      </w:pPr>
    </w:p>
    <w:p>
      <w:pPr>
        <w:ind w:right="140"/>
        <w:spacing w:after="0" w:line="280" w:lineRule="auto"/>
        <w:rPr>
          <w:sz w:val="20"/>
          <w:szCs w:val="20"/>
          <w:color w:val="auto"/>
        </w:rPr>
      </w:pPr>
      <w:r>
        <w:rPr>
          <w:rFonts w:ascii="Arial" w:cs="Arial" w:eastAsia="Arial" w:hAnsi="Arial"/>
          <w:sz w:val="20"/>
          <w:szCs w:val="20"/>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60" w:lineRule="exact"/>
        <w:rPr>
          <w:sz w:val="20"/>
          <w:szCs w:val="20"/>
          <w:color w:val="auto"/>
        </w:rPr>
      </w:pPr>
    </w:p>
    <w:p>
      <w:pPr>
        <w:ind w:left="720" w:right="120" w:hanging="363"/>
        <w:spacing w:after="0" w:line="258" w:lineRule="auto"/>
        <w:tabs>
          <w:tab w:leader="none" w:pos="7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ectPr>
          <w:pgSz w:w="11880" w:h="15480" w:orient="portrait"/>
          <w:cols w:equalWidth="0" w:num="1">
            <w:col w:w="10220"/>
          </w:cols>
          <w:pgMar w:left="820" w:top="58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220"/>
          </w:cols>
          <w:pgMar w:left="820" w:top="580" w:right="840" w:bottom="0" w:gutter="0" w:footer="0" w:header="0"/>
          <w:type w:val="continuous"/>
        </w:sectPr>
      </w:pPr>
    </w:p>
    <w:bookmarkStart w:id="36" w:name="page37"/>
    <w:bookmarkEnd w:id="36"/>
    <w:p>
      <w:pPr>
        <w:ind w:left="720" w:right="20" w:hanging="363"/>
        <w:spacing w:after="0" w:line="271" w:lineRule="auto"/>
        <w:tabs>
          <w:tab w:leader="none" w:pos="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expanded eligibility criteria for Medicaid programs, thereby potentially increasing a manufacturer’s Medicaid rebate liability;</w:t>
      </w:r>
    </w:p>
    <w:p>
      <w:pPr>
        <w:spacing w:after="0" w:line="63" w:lineRule="exact"/>
        <w:rPr>
          <w:rFonts w:ascii="Arial" w:cs="Arial" w:eastAsia="Arial" w:hAnsi="Arial"/>
          <w:sz w:val="22"/>
          <w:szCs w:val="22"/>
          <w:color w:val="auto"/>
        </w:rPr>
      </w:pPr>
    </w:p>
    <w:p>
      <w:pPr>
        <w:ind w:left="720" w:right="260" w:hanging="363"/>
        <w:spacing w:after="0" w:line="318" w:lineRule="auto"/>
        <w:tabs>
          <w:tab w:leader="none" w:pos="7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25" w:lineRule="exact"/>
        <w:rPr>
          <w:rFonts w:ascii="Arial" w:cs="Arial" w:eastAsia="Arial" w:hAnsi="Arial"/>
          <w:sz w:val="19"/>
          <w:szCs w:val="19"/>
          <w:color w:val="auto"/>
        </w:rPr>
      </w:pPr>
    </w:p>
    <w:p>
      <w:pPr>
        <w:ind w:left="720" w:hanging="363"/>
        <w:spacing w:after="0"/>
        <w:tabs>
          <w:tab w:leader="none" w:pos="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expanded the types of entities eligible for the 340B drug discount program;</w:t>
      </w:r>
    </w:p>
    <w:p>
      <w:pPr>
        <w:spacing w:after="0" w:line="123" w:lineRule="exact"/>
        <w:rPr>
          <w:rFonts w:ascii="Arial" w:cs="Arial" w:eastAsia="Arial" w:hAnsi="Arial"/>
          <w:sz w:val="22"/>
          <w:szCs w:val="22"/>
          <w:color w:val="auto"/>
        </w:rPr>
      </w:pPr>
    </w:p>
    <w:p>
      <w:pPr>
        <w:ind w:left="720" w:right="40" w:hanging="363"/>
        <w:spacing w:after="0" w:line="254" w:lineRule="auto"/>
        <w:tabs>
          <w:tab w:leader="none" w:pos="7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81" w:lineRule="exact"/>
        <w:rPr>
          <w:rFonts w:ascii="Arial" w:cs="Arial" w:eastAsia="Arial" w:hAnsi="Arial"/>
          <w:sz w:val="22"/>
          <w:szCs w:val="22"/>
          <w:color w:val="auto"/>
        </w:rPr>
      </w:pPr>
    </w:p>
    <w:p>
      <w:pPr>
        <w:ind w:left="720" w:right="760" w:hanging="363"/>
        <w:spacing w:after="0" w:line="322"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created a Patient-Centered Outcomes Research Institute to oversee, identify priorities in, and conduct comparative clinical effectiveness research, along with funding for such research.</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Other legislative changes have been proposed and adopted in the United States since the ACA was enacted:</w:t>
      </w:r>
    </w:p>
    <w:p>
      <w:pPr>
        <w:spacing w:after="0" w:line="146" w:lineRule="exact"/>
        <w:rPr>
          <w:sz w:val="20"/>
          <w:szCs w:val="20"/>
          <w:color w:val="auto"/>
        </w:rPr>
      </w:pPr>
    </w:p>
    <w:p>
      <w:pPr>
        <w:jc w:val="both"/>
        <w:ind w:left="720" w:right="600" w:hanging="363"/>
        <w:spacing w:after="0" w:line="254" w:lineRule="auto"/>
        <w:tabs>
          <w:tab w:leader="none" w:pos="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w:t>
      </w:r>
    </w:p>
    <w:p>
      <w:pPr>
        <w:spacing w:after="0" w:line="81" w:lineRule="exact"/>
        <w:rPr>
          <w:rFonts w:ascii="Arial" w:cs="Arial" w:eastAsia="Arial" w:hAnsi="Arial"/>
          <w:sz w:val="22"/>
          <w:szCs w:val="22"/>
          <w:color w:val="auto"/>
        </w:rPr>
      </w:pPr>
    </w:p>
    <w:p>
      <w:pPr>
        <w:ind w:left="720" w:right="80" w:hanging="363"/>
        <w:spacing w:after="0" w:line="254" w:lineRule="auto"/>
        <w:tabs>
          <w:tab w:leader="none" w:pos="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81" w:lineRule="exact"/>
        <w:rPr>
          <w:rFonts w:ascii="Arial" w:cs="Arial" w:eastAsia="Arial" w:hAnsi="Arial"/>
          <w:sz w:val="22"/>
          <w:szCs w:val="22"/>
          <w:color w:val="auto"/>
        </w:rPr>
      </w:pPr>
    </w:p>
    <w:p>
      <w:pPr>
        <w:jc w:val="both"/>
        <w:ind w:left="720" w:right="220" w:hanging="363"/>
        <w:spacing w:after="0" w:line="296"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42" w:lineRule="exact"/>
        <w:rPr>
          <w:rFonts w:ascii="Arial" w:cs="Arial" w:eastAsia="Arial" w:hAnsi="Arial"/>
          <w:sz w:val="20"/>
          <w:szCs w:val="20"/>
          <w:color w:val="auto"/>
        </w:rPr>
      </w:pPr>
    </w:p>
    <w:p>
      <w:pPr>
        <w:ind w:left="720" w:right="60" w:hanging="363"/>
        <w:spacing w:after="0" w:line="280" w:lineRule="auto"/>
        <w:tabs>
          <w:tab w:leader="none" w:pos="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43" w:lineRule="exact"/>
        <w:rPr>
          <w:rFonts w:ascii="Arial" w:cs="Arial" w:eastAsia="Arial" w:hAnsi="Arial"/>
          <w:sz w:val="20"/>
          <w:szCs w:val="20"/>
          <w:color w:val="auto"/>
        </w:rPr>
      </w:pPr>
    </w:p>
    <w:p>
      <w:pPr>
        <w:ind w:left="720" w:right="340" w:hanging="363"/>
        <w:spacing w:after="0" w:line="286" w:lineRule="auto"/>
        <w:tabs>
          <w:tab w:leader="none" w:pos="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On</w:t>
      </w:r>
      <w:r>
        <w:rPr>
          <w:rFonts w:ascii="Arial" w:cs="Arial" w:eastAsia="Arial" w:hAnsi="Arial"/>
          <w:sz w:val="22"/>
          <w:szCs w:val="22"/>
          <w:b w:val="1"/>
          <w:bCs w:val="1"/>
          <w:color w:val="auto"/>
        </w:rPr>
        <w:t xml:space="preserve"> </w:t>
      </w:r>
      <w:r>
        <w:rPr>
          <w:rFonts w:ascii="Arial" w:cs="Arial" w:eastAsia="Arial" w:hAnsi="Arial"/>
          <w:sz w:val="22"/>
          <w:szCs w:val="22"/>
          <w:color w:val="auto"/>
        </w:rPr>
        <w:t>May 23, 2019, CMS published a final rule to allow Medicare Advantage Plans the option of using step therapy for Part B drugs beginning January 1, 2020.</w:t>
      </w:r>
    </w:p>
    <w:p>
      <w:pPr>
        <w:spacing w:after="0" w:line="48" w:lineRule="exact"/>
        <w:rPr>
          <w:rFonts w:ascii="Arial" w:cs="Arial" w:eastAsia="Arial" w:hAnsi="Arial"/>
          <w:sz w:val="22"/>
          <w:szCs w:val="22"/>
          <w:color w:val="auto"/>
        </w:rPr>
      </w:pPr>
    </w:p>
    <w:p>
      <w:pPr>
        <w:jc w:val="both"/>
        <w:ind w:left="720" w:hanging="363"/>
        <w:spacing w:after="0" w:line="258" w:lineRule="auto"/>
        <w:tabs>
          <w:tab w:leader="none" w:pos="7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On December 20, 2019, the Further Consolidated Appropriations Act was signed into law (H.R. 1865), which repealed the Cadillac tax, the health insurance provider tax, and the medical device excise tax. It is impossible to determine whether similar taxes could be instated in the future.</w:t>
      </w:r>
    </w:p>
    <w:p>
      <w:pPr>
        <w:spacing w:after="0" w:line="77" w:lineRule="exact"/>
        <w:rPr>
          <w:rFonts w:ascii="Arial" w:cs="Arial" w:eastAsia="Arial" w:hAnsi="Arial"/>
          <w:sz w:val="22"/>
          <w:szCs w:val="22"/>
          <w:color w:val="auto"/>
        </w:rPr>
      </w:pPr>
    </w:p>
    <w:p>
      <w:pPr>
        <w:ind w:left="720" w:right="180" w:hanging="363"/>
        <w:spacing w:after="0" w:line="295" w:lineRule="auto"/>
        <w:tabs>
          <w:tab w:leader="none" w:pos="7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On March 11, 2021, President Biden signed the American Rescue Plan Act of 2021 into law. In addition to provider payment cuts under Medicare, the American Rescue Plan Act of 2021 also eliminated the statutory Medicaid drug rebate cap, previously set at 100% of a drug’s average manufacturer price, for single source and innovator multiple source drugs, beginning January 1, 2024.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ectPr>
          <w:pgSz w:w="11880" w:h="15480" w:orient="portrait"/>
          <w:cols w:equalWidth="0" w:num="1">
            <w:col w:w="10200"/>
          </w:cols>
          <w:pgMar w:left="820" w:top="5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200"/>
          </w:cols>
          <w:pgMar w:left="820" w:top="590" w:right="860" w:bottom="0" w:gutter="0" w:footer="0" w:header="0"/>
          <w:type w:val="continuous"/>
        </w:sectPr>
      </w:pPr>
    </w:p>
    <w:bookmarkStart w:id="37" w:name="page38"/>
    <w:bookmarkEnd w:id="37"/>
    <w:p>
      <w:pPr>
        <w:ind w:left="720" w:right="160" w:hanging="363"/>
        <w:spacing w:after="0" w:line="273" w:lineRule="auto"/>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 August 2022, the Inflation Reduction Act of 2022 (IRA) was signed into law and includes several provisions that may impact our business to varying degrees, including provisions that reduce the out-of-pocket cap for Medicare Part D beneficiaries to $2,000 which began in 2025; impose new manufacturer financial liability on certain drugs under Medicare Part D; allow the U.S. government to negotiate Medicare Part B and Part D price caps for certain high-cost drugs and biologics without generic or biosimilar competition, including small molecule drugs; and require companies to pay rebates to Medicare for certain drug prices that increase faster than inflation, also including small molecule drugs.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or the OBBB Act,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solicited feedback on some of these measures and has in the past implemented others under its existing authority. For example, in May 2019, CMS issued a final rule to allow Medicare Advantage Plans the option of using step therapy, a type of prior authorization, for Part B drugs effective January 1, 2020. Congress and the Trump administration have indicated that they will continue to seek new legislative measures to control drug costs.</w:t>
      </w:r>
    </w:p>
    <w:p>
      <w:pPr>
        <w:spacing w:after="0" w:line="186"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IRA further extended the delay in implementing this rule under 2032.</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Additionally, the FDA published a final rule, effective November 30, 2020, that allows for the importation of certain prescription drugs from Canada. Under the final rule, states and Indian Tribes, and in certain future circumstances pharmacists and wholesalers, may submit importation program proposals to the FDA for review and authorization.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potential pathway for manufacturers to obtain an additional National Drug Code, or NDC, for an FDA-approved drug that was originally intended to be marketed in a foreign country and that was authorized for sale in that foreign country.</w:t>
      </w:r>
    </w:p>
    <w:p>
      <w:pPr>
        <w:sectPr>
          <w:pgSz w:w="11880" w:h="15480" w:orient="portrait"/>
          <w:cols w:equalWidth="0" w:num="1">
            <w:col w:w="10220"/>
          </w:cols>
          <w:pgMar w:left="820" w:top="5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220"/>
          </w:cols>
          <w:pgMar w:left="820" w:top="590" w:right="840" w:bottom="0" w:gutter="0" w:footer="0" w:header="0"/>
          <w:type w:val="continuous"/>
        </w:sectPr>
      </w:pPr>
    </w:p>
    <w:bookmarkStart w:id="38" w:name="page39"/>
    <w:bookmarkEnd w:id="38"/>
    <w:p>
      <w:pPr>
        <w:ind w:right="20"/>
        <w:spacing w:after="0" w:line="273" w:lineRule="auto"/>
        <w:rPr>
          <w:sz w:val="20"/>
          <w:szCs w:val="20"/>
          <w:color w:val="auto"/>
        </w:rPr>
      </w:pPr>
      <w:r>
        <w:rPr>
          <w:rFonts w:ascii="Arial" w:cs="Arial" w:eastAsia="Arial" w:hAnsi="Arial"/>
          <w:sz w:val="20"/>
          <w:szCs w:val="20"/>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In addition, regional health care authorities and individual hospitals are increasingly using bidding procedures to determine what pharmaceutical products and which suppliers will be included in their prescription drug and other health care programs. Some of these proposed measures, including drug importation and pharmacy benefit manager rebate rule changes, face legal challenges from industry groups and participants. These measures could reduce the ultimate demand for our products, once approved, or put pressure on our product pricing.</w:t>
      </w:r>
    </w:p>
    <w:p>
      <w:pPr>
        <w:spacing w:after="0" w:line="178"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240"/>
          </w:cols>
          <w:pgMar w:left="820" w:top="590" w:right="820" w:bottom="0" w:gutter="0" w:footer="0" w:header="0"/>
          <w:type w:val="continuous"/>
        </w:sectPr>
      </w:pPr>
    </w:p>
    <w:bookmarkStart w:id="39" w:name="page40"/>
    <w:bookmarkEnd w:id="39"/>
    <w:p>
      <w:pPr>
        <w:ind w:right="40"/>
        <w:spacing w:after="0" w:line="275" w:lineRule="auto"/>
        <w:rPr>
          <w:sz w:val="20"/>
          <w:szCs w:val="20"/>
          <w:color w:val="auto"/>
        </w:rPr>
      </w:pPr>
      <w:r>
        <w:rPr>
          <w:rFonts w:ascii="Arial" w:cs="Arial" w:eastAsia="Arial" w:hAnsi="Arial"/>
          <w:sz w:val="20"/>
          <w:szCs w:val="20"/>
          <w:color w:val="auto"/>
        </w:rPr>
        <w:t>Some of our manufacturers are located outside of the United States. There is currently significant uncertainty about the future relationship between the U.S. and various other countries, including China,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active pharmaceutical ingredients (APIs)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In the EU, pricing and reimbursement schemes vary widely from country to country. Some countries provide that products may be marketed only after a reimbursement price has been agreed. Some countries may require the completion of additional studies or health technology assessments that compare the cost-effectiveness of a particular product candidate to currently available therapies in order to obtain reimbursement or pricing approval. For example, in the EU Member States may restrict the range of products for which their national health insurance systems provide reimbursement or impose price controls on medicines.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grant favorable reimbursement and pricing arrangements for any products, if approved in those countries.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Compliance with other federal and state laws or requirements; changing legal requirements</w:t>
      </w:r>
    </w:p>
    <w:p>
      <w:pPr>
        <w:spacing w:after="0" w:line="250"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we may be subject.</w:t>
      </w:r>
    </w:p>
    <w:p>
      <w:pPr>
        <w:spacing w:after="0" w:line="173"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96" w:lineRule="exact"/>
        <w:rPr>
          <w:sz w:val="20"/>
          <w:szCs w:val="20"/>
          <w:color w:val="auto"/>
        </w:rPr>
      </w:pPr>
    </w:p>
    <w:p>
      <w:pPr>
        <w:ind w:right="60"/>
        <w:spacing w:after="0" w:line="276" w:lineRule="auto"/>
        <w:rPr>
          <w:sz w:val="20"/>
          <w:szCs w:val="20"/>
          <w:color w:val="auto"/>
        </w:rPr>
      </w:pPr>
      <w:r>
        <w:rPr>
          <w:rFonts w:ascii="Arial" w:cs="Arial" w:eastAsia="Arial" w:hAnsi="Arial"/>
          <w:sz w:val="20"/>
          <w:szCs w:val="20"/>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ectPr>
          <w:pgSz w:w="11880" w:h="15480" w:orient="portrait"/>
          <w:cols w:equalWidth="0" w:num="1">
            <w:col w:w="10180"/>
          </w:cols>
          <w:pgMar w:left="820" w:top="5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180"/>
          </w:cols>
          <w:pgMar w:left="820" w:top="590" w:right="880" w:bottom="0" w:gutter="0" w:footer="0" w:header="0"/>
          <w:type w:val="continuous"/>
        </w:sectPr>
      </w:pPr>
    </w:p>
    <w:bookmarkStart w:id="40" w:name="page41"/>
    <w:bookmarkEnd w:id="40"/>
    <w:p>
      <w:pPr>
        <w:spacing w:after="0" w:line="287" w:lineRule="auto"/>
        <w:rPr>
          <w:sz w:val="20"/>
          <w:szCs w:val="20"/>
          <w:color w:val="auto"/>
        </w:rPr>
      </w:pPr>
      <w:r>
        <w:rPr>
          <w:rFonts w:ascii="Arial" w:cs="Arial" w:eastAsia="Arial" w:hAnsi="Arial"/>
          <w:sz w:val="20"/>
          <w:szCs w:val="20"/>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U.S. environmental, health and safety laws and regulations</w:t>
      </w:r>
    </w:p>
    <w:p>
      <w:pPr>
        <w:spacing w:after="0" w:line="250"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3" w:lineRule="exact"/>
        <w:rPr>
          <w:sz w:val="20"/>
          <w:szCs w:val="20"/>
          <w:color w:val="auto"/>
        </w:rPr>
      </w:pPr>
    </w:p>
    <w:p>
      <w:pPr>
        <w:ind w:right="40"/>
        <w:spacing w:after="0" w:line="296" w:lineRule="auto"/>
        <w:rPr>
          <w:sz w:val="20"/>
          <w:szCs w:val="20"/>
          <w:color w:val="auto"/>
        </w:rPr>
      </w:pPr>
      <w:r>
        <w:rPr>
          <w:rFonts w:ascii="Arial" w:cs="Arial" w:eastAsia="Arial" w:hAnsi="Arial"/>
          <w:sz w:val="20"/>
          <w:szCs w:val="20"/>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60"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Government regulation of drugs outside of the United States</w:t>
      </w:r>
    </w:p>
    <w:p>
      <w:pPr>
        <w:spacing w:after="0" w:line="250"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To market any product outside of the United States,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 For instance, in the EU, medicinal products are subject to extensive pre- and post-market regulation by regulatory authorities at both the EU and national levels.</w:t>
      </w:r>
    </w:p>
    <w:p>
      <w:pPr>
        <w:sectPr>
          <w:pgSz w:w="11880" w:h="15480" w:orient="portrait"/>
          <w:cols w:equalWidth="0" w:num="1">
            <w:col w:w="10160"/>
          </w:cols>
          <w:pgMar w:left="820" w:top="59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160"/>
          </w:cols>
          <w:pgMar w:left="820" w:top="590" w:right="900" w:bottom="0" w:gutter="0" w:footer="0" w:header="0"/>
          <w:type w:val="continuous"/>
        </w:sectPr>
      </w:pPr>
    </w:p>
    <w:bookmarkStart w:id="41" w:name="page42"/>
    <w:bookmarkEnd w:id="41"/>
    <w:p>
      <w:pPr>
        <w:ind w:left="720" w:hanging="363"/>
        <w:spacing w:after="0" w:line="287"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b w:val="1"/>
          <w:bCs w:val="1"/>
          <w:i w:val="1"/>
          <w:iCs w:val="1"/>
          <w:color w:val="auto"/>
        </w:rPr>
        <w:t>Centralized procedure</w:t>
      </w:r>
      <w:r>
        <w:rPr>
          <w:rFonts w:ascii="Arial" w:cs="Arial" w:eastAsia="Arial" w:hAnsi="Arial"/>
          <w:sz w:val="19"/>
          <w:szCs w:val="19"/>
          <w:color w:val="auto"/>
        </w:rPr>
        <w:t>—If pursuing marketing authorization of a product candidate for a therapeutic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indication under the centralized procedure, following the opinion of the European Medicines Agency’s, (EMA), Committee for Medicinal Products for Human Use (CHMP), the European Commission issues a single marketing authorization valid across the EU, and in the additional countries of the European Economic Area (Iceland, Liechtenstein and Norway). The centralized procedure is compulsory for human medicines derived from biotechnology processes or advanced therapy medicinal products (i.e. gene therapy, somatic cell therapy and tissue engineered products), products that contain a new active substance indicated for the treatment of certain diseases, such as HIV, AIDS, cancer, neurodegenerative disorders, diabetes, autoimmune diseases and other immune dysfunctions, viral diseases, and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which makes the final decision to grant the marketing authorization, which is issued within 67 days of receipt of the EMA’s recommendation. Accelerated assessment may be granted by the CHMP in exceptional cases, for medicinal products of major public health interest, particularly from the perspective of therapeutic innovation. If the CHMP accepts such request, the time limit of 210 days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317" w:lineRule="exact"/>
        <w:rPr>
          <w:rFonts w:ascii="Arial" w:cs="Arial" w:eastAsia="Arial" w:hAnsi="Arial"/>
          <w:sz w:val="19"/>
          <w:szCs w:val="19"/>
          <w:color w:val="auto"/>
        </w:rPr>
      </w:pPr>
    </w:p>
    <w:p>
      <w:pPr>
        <w:ind w:left="720" w:right="320" w:hanging="363"/>
        <w:spacing w:after="0" w:line="260" w:lineRule="auto"/>
        <w:tabs>
          <w:tab w:leader="none" w:pos="720" w:val="left"/>
        </w:tabs>
        <w:numPr>
          <w:ilvl w:val="0"/>
          <w:numId w:val="21"/>
        </w:numPr>
        <w:rPr>
          <w:rFonts w:ascii="Arial" w:cs="Arial" w:eastAsia="Arial" w:hAnsi="Arial"/>
          <w:sz w:val="22"/>
          <w:szCs w:val="22"/>
          <w:color w:val="auto"/>
        </w:rPr>
      </w:pPr>
      <w:r>
        <w:rPr>
          <w:rFonts w:ascii="Arial" w:cs="Arial" w:eastAsia="Arial" w:hAnsi="Arial"/>
          <w:sz w:val="22"/>
          <w:szCs w:val="22"/>
          <w:b w:val="1"/>
          <w:bCs w:val="1"/>
          <w:i w:val="1"/>
          <w:iCs w:val="1"/>
          <w:color w:val="auto"/>
        </w:rPr>
        <w:t>National authorization procedures</w:t>
      </w:r>
      <w:r>
        <w:rPr>
          <w:rFonts w:ascii="Arial" w:cs="Arial" w:eastAsia="Arial" w:hAnsi="Arial"/>
          <w:sz w:val="22"/>
          <w:szCs w:val="22"/>
          <w:color w:val="auto"/>
        </w:rPr>
        <w:t>—There are also two other possible routes to authorize products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therapeutic indications in several countries in the EU, which are available for products that fall outside the scope of the centralized procedure:</w:t>
      </w:r>
    </w:p>
    <w:p>
      <w:pPr>
        <w:spacing w:after="0" w:line="71" w:lineRule="exact"/>
        <w:rPr>
          <w:rFonts w:ascii="Arial" w:cs="Arial" w:eastAsia="Arial" w:hAnsi="Arial"/>
          <w:sz w:val="22"/>
          <w:szCs w:val="22"/>
          <w:color w:val="auto"/>
        </w:rPr>
      </w:pPr>
    </w:p>
    <w:p>
      <w:pPr>
        <w:ind w:left="1420" w:right="20" w:hanging="357"/>
        <w:spacing w:after="0" w:line="255" w:lineRule="auto"/>
        <w:tabs>
          <w:tab w:leader="none" w:pos="1420" w:val="left"/>
        </w:tabs>
        <w:numPr>
          <w:ilvl w:val="1"/>
          <w:numId w:val="21"/>
        </w:numPr>
        <w:rPr>
          <w:rFonts w:ascii="Arial" w:cs="Arial" w:eastAsia="Arial" w:hAnsi="Arial"/>
          <w:sz w:val="22"/>
          <w:szCs w:val="22"/>
          <w:color w:val="auto"/>
        </w:rPr>
      </w:pPr>
      <w:r>
        <w:rPr>
          <w:rFonts w:ascii="Arial" w:cs="Arial" w:eastAsia="Arial" w:hAnsi="Arial"/>
          <w:sz w:val="22"/>
          <w:szCs w:val="22"/>
          <w:b w:val="1"/>
          <w:bCs w:val="1"/>
          <w:i w:val="1"/>
          <w:iCs w:val="1"/>
          <w:color w:val="auto"/>
        </w:rPr>
        <w:t>Decentralized procedure</w:t>
      </w:r>
      <w:r>
        <w:rPr>
          <w:rFonts w:ascii="Arial" w:cs="Arial" w:eastAsia="Arial" w:hAnsi="Arial"/>
          <w:sz w:val="22"/>
          <w:szCs w:val="22"/>
          <w:color w:val="auto"/>
        </w:rPr>
        <w:t>—Using the decentralized procedure, an applicant may apply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simultaneous authorization in more than one EU country of medicinal products that have not yet been authorized in any EU country and that do not fall within the mandatory scope of the centralized procedure.</w:t>
      </w:r>
    </w:p>
    <w:p>
      <w:pPr>
        <w:spacing w:after="0" w:line="77" w:lineRule="exact"/>
        <w:rPr>
          <w:rFonts w:ascii="Arial" w:cs="Arial" w:eastAsia="Arial" w:hAnsi="Arial"/>
          <w:sz w:val="22"/>
          <w:szCs w:val="22"/>
          <w:color w:val="auto"/>
        </w:rPr>
      </w:pPr>
    </w:p>
    <w:p>
      <w:pPr>
        <w:ind w:left="1420" w:right="20" w:hanging="357"/>
        <w:spacing w:after="0" w:line="308" w:lineRule="auto"/>
        <w:tabs>
          <w:tab w:leader="none" w:pos="1420" w:val="left"/>
        </w:tabs>
        <w:numPr>
          <w:ilvl w:val="1"/>
          <w:numId w:val="21"/>
        </w:numPr>
        <w:rPr>
          <w:rFonts w:ascii="Arial" w:cs="Arial" w:eastAsia="Arial" w:hAnsi="Arial"/>
          <w:sz w:val="19"/>
          <w:szCs w:val="19"/>
          <w:color w:val="auto"/>
        </w:rPr>
      </w:pPr>
      <w:r>
        <w:rPr>
          <w:rFonts w:ascii="Arial" w:cs="Arial" w:eastAsia="Arial" w:hAnsi="Arial"/>
          <w:sz w:val="19"/>
          <w:szCs w:val="19"/>
          <w:b w:val="1"/>
          <w:bCs w:val="1"/>
          <w:i w:val="1"/>
          <w:iCs w:val="1"/>
          <w:color w:val="auto"/>
        </w:rPr>
        <w:t>Mutual recognition procedure</w:t>
      </w:r>
      <w:r>
        <w:rPr>
          <w:rFonts w:ascii="Arial" w:cs="Arial" w:eastAsia="Arial" w:hAnsi="Arial"/>
          <w:sz w:val="19"/>
          <w:szCs w:val="19"/>
          <w:color w:val="auto"/>
        </w:rPr>
        <w:t>—In the mutual recognition procedure, a medicine is first authorized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one EU Member State, in accordance with the national procedures of that country. Following this, additional marketing authorizations can be sought from other EU countries in a procedure whereby the countries concerned recognize the validity of the original, national marketing authorization.</w:t>
      </w:r>
    </w:p>
    <w:p>
      <w:pPr>
        <w:spacing w:after="0" w:line="152" w:lineRule="exact"/>
        <w:rPr>
          <w:sz w:val="20"/>
          <w:szCs w:val="20"/>
          <w:color w:val="auto"/>
        </w:rPr>
      </w:pPr>
    </w:p>
    <w:p>
      <w:pPr>
        <w:ind w:right="460"/>
        <w:spacing w:after="0" w:line="254" w:lineRule="auto"/>
        <w:rPr>
          <w:sz w:val="20"/>
          <w:szCs w:val="20"/>
          <w:color w:val="auto"/>
        </w:rPr>
      </w:pPr>
      <w:r>
        <w:rPr>
          <w:rFonts w:ascii="Arial" w:cs="Arial" w:eastAsia="Arial" w:hAnsi="Arial"/>
          <w:sz w:val="22"/>
          <w:szCs w:val="22"/>
          <w:color w:val="auto"/>
        </w:rPr>
        <w:t>Under the above described procedures, before granting a marketing authorization, the EMA (for centralized procedures) or the competent authorities of the Member States (for national, decentralized or mutual recognition procedures) assess the risk-benefit balance of the product on the basis of scientific criteria concerning its quality, safety and efficacy.</w:t>
      </w:r>
    </w:p>
    <w:p>
      <w:pPr>
        <w:sectPr>
          <w:pgSz w:w="11880" w:h="15480" w:orient="portrait"/>
          <w:cols w:equalWidth="0" w:num="1">
            <w:col w:w="10200"/>
          </w:cols>
          <w:pgMar w:left="820" w:top="58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200"/>
          </w:cols>
          <w:pgMar w:left="820" w:top="586" w:right="860" w:bottom="0" w:gutter="0" w:footer="0" w:header="0"/>
          <w:type w:val="continuous"/>
        </w:sectPr>
      </w:pPr>
    </w:p>
    <w:bookmarkStart w:id="42" w:name="page43"/>
    <w:bookmarkEnd w:id="42"/>
    <w:p>
      <w:pPr>
        <w:spacing w:after="0" w:line="288" w:lineRule="auto"/>
        <w:rPr>
          <w:sz w:val="20"/>
          <w:szCs w:val="20"/>
          <w:color w:val="auto"/>
        </w:rPr>
      </w:pPr>
      <w:r>
        <w:rPr>
          <w:rFonts w:ascii="Arial" w:cs="Arial" w:eastAsia="Arial" w:hAnsi="Arial"/>
          <w:sz w:val="19"/>
          <w:szCs w:val="19"/>
          <w:color w:val="auto"/>
        </w:rPr>
        <w:t>In the EU, new products for therapeutic indications that are authorized for marketing (i.e., reference products) qualify for eight years of data exclusivity and an additional two years of market exclusivity upon marketing authorization. The data exclusivity period, if granted, prevents generic or biosimilar applicants from relying on the preclinical and clinical trial data contained in the dossier of the reference product when applying for a generic or biosimilar marketing authorization in the EU for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in the EU until the expiration of the market exclusivity period.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 marketing authorization based on an MAA with a complete, independent data package of pharmaceutical tests, preclinical tests and clinical trials.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criteria for designating an “orphan medicinal product” in the EU are similar in principle to those in the United States. In the EU a medicinal product may be designated as orphan medicinal product if it meets the following criteria: (1) it is intended for the diagnosis, prevention or treatment of a life-threatening or chronically debilitating condition; (2) either (a) such condition affects no more than five in 10,000 persons in the EU when the application is made, or (b) without the benefits derived from orphan status, it is unlikely that the marketing of the medicine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MAA shall be accepted, and no marketing authorization shall be granted for a similar medicinal product.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including if the product is sufficiently profitable not to justify maintenance of market exclusivity. Otherwise, orphan medicine marketing exclusivity may be revoked only in very select cases, such as if (i) it is established that a similar medicinal product is safer, more effective or otherwise clinically superior to the authorized product; (ii) the marketing authorization holder of the authorized orphan product consents to a second product application; or (iii) the marketing authorization holder of the authorized orphan product cannot supply enough orphan medicinal product. Orphan designation must be requested before submission of the for marketing authorization application. Orphan designation does not convey any advantage in, or shorten the duration of, the regulatory review and approval process.</w:t>
      </w:r>
    </w:p>
    <w:p>
      <w:pPr>
        <w:spacing w:after="0" w:line="200" w:lineRule="exact"/>
        <w:rPr>
          <w:sz w:val="20"/>
          <w:szCs w:val="20"/>
          <w:color w:val="auto"/>
        </w:rPr>
      </w:pPr>
    </w:p>
    <w:p>
      <w:pPr>
        <w:spacing w:after="0" w:line="238"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In May 2017, the EU adopted the Regulation (EU) 2017/746 on in vitro diagnostic medical devices, or IVDR, which became applicable on 26 May 2022 and repealed Directive 98/79/EC on in vitro diagnostic medical devices. Devices that comply with the requirements of the IVDR will be entitled to bear the CE conformity marking, indicating that the device conforms to the general safety and performance requirements of the IVDR, and, accordingly, can be commercially distributed throughout the EU (in-vitro diagnostic medical devices cannot be marketed in the EU without a CE mark). The method of assessing conformity varies depending on the class of the product, but normally involves a third-party assessment by an independent “Notified Body”. This third-party assessment may consist of an audit of the manufacturer’s quality system and specific testing of the manufacturer’s product.</w:t>
      </w:r>
    </w:p>
    <w:p>
      <w:pPr>
        <w:spacing w:after="0" w:line="171" w:lineRule="exact"/>
        <w:rPr>
          <w:sz w:val="20"/>
          <w:szCs w:val="20"/>
          <w:color w:val="auto"/>
        </w:rPr>
      </w:pPr>
    </w:p>
    <w:p>
      <w:pPr>
        <w:ind w:right="940"/>
        <w:spacing w:after="0" w:line="271" w:lineRule="auto"/>
        <w:rPr>
          <w:sz w:val="20"/>
          <w:szCs w:val="20"/>
          <w:color w:val="auto"/>
        </w:rPr>
      </w:pPr>
      <w:r>
        <w:rPr>
          <w:rFonts w:ascii="Arial" w:cs="Arial" w:eastAsia="Arial" w:hAnsi="Arial"/>
          <w:sz w:val="22"/>
          <w:szCs w:val="22"/>
          <w:color w:val="auto"/>
        </w:rPr>
        <w:t>Similar to the United States, the various phases of non-clinical and clinical research in the EU are subject to significant regulatory controls.</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240"/>
          </w:cols>
          <w:pgMar w:left="820" w:top="590" w:right="820" w:bottom="0" w:gutter="0" w:footer="0" w:header="0"/>
          <w:type w:val="continuous"/>
        </w:sectPr>
      </w:pPr>
    </w:p>
    <w:bookmarkStart w:id="43" w:name="page44"/>
    <w:bookmarkEnd w:id="43"/>
    <w:p>
      <w:pPr>
        <w:ind w:right="120"/>
        <w:spacing w:after="0" w:line="290" w:lineRule="auto"/>
        <w:rPr>
          <w:sz w:val="20"/>
          <w:szCs w:val="20"/>
          <w:color w:val="auto"/>
        </w:rPr>
      </w:pPr>
      <w:r>
        <w:rPr>
          <w:rFonts w:ascii="Arial" w:cs="Arial" w:eastAsia="Arial" w:hAnsi="Arial"/>
          <w:sz w:val="19"/>
          <w:szCs w:val="19"/>
          <w:color w:val="auto"/>
        </w:rPr>
        <w:t>In April 2014, Regulation (EU) No 536/2014 on clinical trials (Clinical Trials Regulation) was adopted, which replaced the Clinical Trials Directive 2001/20/EC on January 31, 2022. The Clinical Trials Regulation is directly applicable in all EU Member States, meaning no national implementing legislation is required. The Clinical Trials Regulation aims to simplify and streamline the approval of clinical trials in the EU. The main characteristics of the regulation include: a streamlined application procedure via a single-entry point,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in a coordinated procedure led by a Reporting Member State, with the involvement of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22"/>
          <w:szCs w:val="22"/>
          <w:color w:val="auto"/>
        </w:rPr>
        <w:t>All of the aforementioned EU rules are generally applicable in the European Economic Area (EEA), which consists of the EU Member States, plus Norway, Liechtenstein and Iceland.</w:t>
      </w:r>
    </w:p>
    <w:p>
      <w:pPr>
        <w:spacing w:after="0" w:line="181" w:lineRule="exact"/>
        <w:rPr>
          <w:sz w:val="20"/>
          <w:szCs w:val="20"/>
          <w:color w:val="auto"/>
        </w:rPr>
      </w:pPr>
    </w:p>
    <w:p>
      <w:pPr>
        <w:ind w:right="40"/>
        <w:spacing w:after="0" w:line="280" w:lineRule="auto"/>
        <w:rPr>
          <w:sz w:val="20"/>
          <w:szCs w:val="20"/>
          <w:color w:val="auto"/>
        </w:rPr>
      </w:pPr>
      <w:r>
        <w:rPr>
          <w:rFonts w:ascii="Arial" w:cs="Arial" w:eastAsia="Arial" w:hAnsi="Arial"/>
          <w:sz w:val="20"/>
          <w:szCs w:val="20"/>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collection and use of personal data in the EEA is governed by the General Data Protection Regulation (GDPR). The GDPR has extraterritorial application and applies to organizations based outside the EEA that provide goods or services to residents in the EU. The GDPR imposes strict requirements on controllers and processors of personal data, including special protections for “sensitive information” which includes health and genetic information of data subjects residing in the EEA. GDPR grants individuals a number of data protection rights which they can exercise in relation to their personal information. Further, the GDPR enables individuals to claim damages for violations and introduces the right for non-profit organizations to bring claims on behalf of data subjects. The GDPR imposes strict rules on the transfer of personal data out of the EEA to the United States or other regions that have not been deemed to offer “adequate” privacy protections. Failure to comply with the requirements of the GDPR and the related national data protection laws of the EEA Member States, which may deviate slightly from the GDPR, may result in fines of up to 4% of global revenues, or €20 million, whichever is greater. The GDPR introduced additional complexity and requirements for additional mechanisms ensuring compliance with the new data protection rules. In addition, further to the United Kingdom (UK)’s exit from the EU, the UK’s EU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In 2025, the Data (Use and Access) Bill (DUA Act) passed both Houses of UK Parliament and received Royal Assent. The DUA Act alters requirements for international data transfers and marks a shift in the UK’s approach to data protection.</w:t>
      </w:r>
    </w:p>
    <w:p>
      <w:pPr>
        <w:spacing w:after="0" w:line="200" w:lineRule="exact"/>
        <w:rPr>
          <w:sz w:val="20"/>
          <w:szCs w:val="20"/>
          <w:color w:val="auto"/>
        </w:rPr>
      </w:pPr>
    </w:p>
    <w:p>
      <w:pPr>
        <w:spacing w:after="0" w:line="235" w:lineRule="exact"/>
        <w:rPr>
          <w:sz w:val="20"/>
          <w:szCs w:val="20"/>
          <w:color w:val="auto"/>
        </w:rPr>
      </w:pPr>
    </w:p>
    <w:p>
      <w:pPr>
        <w:ind w:right="320"/>
        <w:spacing w:after="0" w:line="271" w:lineRule="auto"/>
        <w:rPr>
          <w:sz w:val="20"/>
          <w:szCs w:val="20"/>
          <w:color w:val="auto"/>
        </w:rPr>
      </w:pPr>
      <w:r>
        <w:rPr>
          <w:rFonts w:ascii="Arial" w:cs="Arial" w:eastAsia="Arial" w:hAnsi="Arial"/>
          <w:sz w:val="22"/>
          <w:szCs w:val="22"/>
          <w:color w:val="auto"/>
        </w:rPr>
        <w:t>Enforcement uncertainty and the costs associated with ensuring GDPR compliance are onerous and may adversely affect our business, financial condition, results of operations and prospects.</w:t>
      </w:r>
    </w:p>
    <w:p>
      <w:pPr>
        <w:spacing w:after="0" w:line="181" w:lineRule="exact"/>
        <w:rPr>
          <w:sz w:val="20"/>
          <w:szCs w:val="20"/>
          <w:color w:val="auto"/>
        </w:rPr>
      </w:pPr>
    </w:p>
    <w:p>
      <w:pPr>
        <w:ind w:right="60"/>
        <w:spacing w:after="0" w:line="322" w:lineRule="auto"/>
        <w:rPr>
          <w:sz w:val="20"/>
          <w:szCs w:val="20"/>
          <w:color w:val="auto"/>
        </w:rPr>
      </w:pPr>
      <w:r>
        <w:rPr>
          <w:rFonts w:ascii="Arial" w:cs="Arial" w:eastAsia="Arial" w:hAnsi="Arial"/>
          <w:sz w:val="20"/>
          <w:szCs w:val="20"/>
          <w:color w:val="auto"/>
        </w:rPr>
        <w:t>Should we utilize third-party distributors, compliance with such foreign governmental regulations would generally be the responsibility of such distributors, who may be independent contractors over whom we have limited control.</w:t>
      </w:r>
    </w:p>
    <w:p>
      <w:pPr>
        <w:sectPr>
          <w:pgSz w:w="11880" w:h="15480" w:orient="portrait"/>
          <w:cols w:equalWidth="0" w:num="1">
            <w:col w:w="10200"/>
          </w:cols>
          <w:pgMar w:left="820" w:top="590" w:right="86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200"/>
          </w:cols>
          <w:pgMar w:left="820" w:top="590" w:right="86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2"/>
          <w:szCs w:val="22"/>
          <w:b w:val="1"/>
          <w:bCs w:val="1"/>
          <w:i w:val="1"/>
          <w:iCs w:val="1"/>
          <w:color w:val="auto"/>
        </w:rPr>
        <w:t>Brexit and the Regulatory Framework in the United Kingdom</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(MHRA) is the UK's standalone medicines and medical devices regulator. As a result of the Northern Ireland Protocol, different rules applied in Northern Ireland than in England, Wales, and Scotland (together, "Great Britain", or GB), with Northern Ireland continuing to follow the EU regulatory regime for a period after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(i.e., Great Britain and Northern Ireland), and the EMA no longer has a role in UK marketing authorizations. A single UK-wide marketing authorizations will be granted by the MHRA for medicinal products to be sold in the UK, enabling products to be sold in a single pack and under a single authorization throughout the UK. In addition, the new arrangements require, for packs placed on the UK market on or after January 1, 2025, a "UK Only" label is required, indicating they are not for sale in the EU. However, although separate authorization is now required to market medicinal products in the UK, since January 1, 2024, the MHRA may rely on the International Recognition Procedure, or IRP, when reviewing certain types of MAAs. Pursuant to the IRP, the MHRA will take into account the expertise and decision-making of trusted regulatory partners (e.g. the medicines regulatory authorities in Australia, Canada, Switzerland, Singapore, Japan, the U.S.A. and the EMA in the EU).</w:t>
      </w:r>
    </w:p>
    <w:p>
      <w:pPr>
        <w:spacing w:after="0" w:line="200" w:lineRule="exact"/>
        <w:rPr>
          <w:sz w:val="20"/>
          <w:szCs w:val="20"/>
          <w:color w:val="auto"/>
        </w:rPr>
      </w:pPr>
    </w:p>
    <w:p>
      <w:pPr>
        <w:spacing w:after="0" w:line="243" w:lineRule="exact"/>
        <w:rPr>
          <w:sz w:val="20"/>
          <w:szCs w:val="20"/>
          <w:color w:val="auto"/>
        </w:rPr>
      </w:pPr>
    </w:p>
    <w:p>
      <w:pPr>
        <w:ind w:right="280"/>
        <w:spacing w:after="0" w:line="254" w:lineRule="auto"/>
        <w:rPr>
          <w:sz w:val="20"/>
          <w:szCs w:val="20"/>
          <w:color w:val="auto"/>
        </w:rPr>
      </w:pPr>
      <w:r>
        <w:rPr>
          <w:rFonts w:ascii="Arial" w:cs="Arial" w:eastAsia="Arial" w:hAnsi="Arial"/>
          <w:sz w:val="22"/>
          <w:szCs w:val="22"/>
          <w:color w:val="auto"/>
        </w:rPr>
        <w:t>There is no pre-marketing authorization orphan designation in the UK. The MHRA reviews applications for orphan designation with the corresponding MAA. The criteria for orphan designation in the UK are similar to those in the EU, but are applied to the UK population not more than five in 10,000 in the UK). If granted, orphan market exclusivity is set from the date of first approval in the UK.</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Resources</w:t>
      </w:r>
    </w:p>
    <w:p>
      <w:pPr>
        <w:spacing w:after="0" w:line="248" w:lineRule="exact"/>
        <w:rPr>
          <w:sz w:val="20"/>
          <w:szCs w:val="20"/>
          <w:color w:val="auto"/>
        </w:rPr>
      </w:pPr>
    </w:p>
    <w:p>
      <w:pPr>
        <w:jc w:val="both"/>
        <w:ind w:right="20"/>
        <w:spacing w:after="0" w:line="306" w:lineRule="auto"/>
        <w:rPr>
          <w:sz w:val="20"/>
          <w:szCs w:val="20"/>
          <w:color w:val="auto"/>
        </w:rPr>
      </w:pPr>
      <w:r>
        <w:rPr>
          <w:rFonts w:ascii="Arial" w:cs="Arial" w:eastAsia="Arial" w:hAnsi="Arial"/>
          <w:sz w:val="19"/>
          <w:szCs w:val="19"/>
          <w:color w:val="auto"/>
        </w:rPr>
        <w:t>In order to achieve the goals and expectations of our Company, it is crucial that we continue to attract and retain top talent. To facilitate talent attraction and retention, we strive to make Black Diamond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156" w:lineRule="exact"/>
        <w:rPr>
          <w:sz w:val="20"/>
          <w:szCs w:val="20"/>
          <w:color w:val="auto"/>
        </w:rPr>
      </w:pPr>
    </w:p>
    <w:p>
      <w:pPr>
        <w:ind w:right="200"/>
        <w:spacing w:after="0" w:line="254" w:lineRule="auto"/>
        <w:rPr>
          <w:sz w:val="20"/>
          <w:szCs w:val="20"/>
          <w:color w:val="auto"/>
        </w:rPr>
      </w:pPr>
      <w:r>
        <w:rPr>
          <w:rFonts w:ascii="Arial" w:cs="Arial" w:eastAsia="Arial" w:hAnsi="Arial"/>
          <w:sz w:val="22"/>
          <w:szCs w:val="22"/>
          <w:color w:val="auto"/>
        </w:rPr>
        <w:t>As of March 11, 2026, we had 21 full-time employees. Three of our employees have Ph.D. degrees, two have Pharm.D. degrees, and three have M.D. degrees. The following table shows the number of full-time employees as of March 11, 2026 engaged in either research and development or administrative functions. All of our employees are located in the 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19050</wp:posOffset>
                </wp:positionV>
                <wp:extent cx="649668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685" cy="4763"/>
                        </a:xfrm>
                        <a:prstGeom prst="line">
                          <a:avLst/>
                        </a:prstGeom>
                        <a:solidFill>
                          <a:srgbClr val="FFFFFF"/>
                        </a:solidFill>
                        <a:ln w="24891">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5pt" to="511.75pt,1.5pt" o:allowincell="f" strokecolor="#000000" strokeweight="1.9599pt"/>
            </w:pict>
          </mc:Fallback>
        </mc:AlternateContent>
      </w:r>
    </w:p>
    <w:p>
      <w:pPr>
        <w:spacing w:after="0" w:line="150" w:lineRule="exact"/>
        <w:rPr>
          <w:sz w:val="20"/>
          <w:szCs w:val="20"/>
          <w:color w:val="auto"/>
        </w:rPr>
      </w:pPr>
    </w:p>
    <w:p>
      <w:pPr>
        <w:ind w:left="60"/>
        <w:spacing w:after="0"/>
        <w:tabs>
          <w:tab w:leader="none" w:pos="9120" w:val="left"/>
        </w:tabs>
        <w:rPr>
          <w:sz w:val="20"/>
          <w:szCs w:val="20"/>
          <w:color w:val="auto"/>
        </w:rPr>
      </w:pPr>
      <w:r>
        <w:rPr>
          <w:rFonts w:ascii="Arial" w:cs="Arial" w:eastAsia="Arial" w:hAnsi="Arial"/>
          <w:sz w:val="20"/>
          <w:szCs w:val="20"/>
          <w:b w:val="1"/>
          <w:bCs w:val="1"/>
          <w:color w:val="auto"/>
        </w:rPr>
        <w:t>Function</w:t>
      </w:r>
      <w:r>
        <w:rPr>
          <w:sz w:val="20"/>
          <w:szCs w:val="20"/>
          <w:color w:val="auto"/>
        </w:rPr>
        <w:tab/>
      </w:r>
      <w:r>
        <w:rPr>
          <w:rFonts w:ascii="Arial" w:cs="Arial" w:eastAsia="Arial" w:hAnsi="Arial"/>
          <w:sz w:val="17"/>
          <w:szCs w:val="17"/>
          <w:b w:val="1"/>
          <w:bCs w:val="1"/>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6522085" cy="585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522085" cy="585470"/>
                    </a:xfrm>
                    <a:prstGeom prst="rect">
                      <a:avLst/>
                    </a:prstGeom>
                    <a:noFill/>
                  </pic:spPr>
                </pic:pic>
              </a:graphicData>
            </a:graphic>
          </wp:anchor>
        </w:drawing>
      </w:r>
    </w:p>
    <w:p>
      <w:pPr>
        <w:spacing w:after="0" w:line="48" w:lineRule="exact"/>
        <w:rPr>
          <w:sz w:val="20"/>
          <w:szCs w:val="20"/>
          <w:color w:val="auto"/>
        </w:rPr>
      </w:pPr>
    </w:p>
    <w:p>
      <w:pPr>
        <w:ind w:left="60"/>
        <w:spacing w:after="0"/>
        <w:tabs>
          <w:tab w:leader="dot" w:pos="9500" w:val="left"/>
        </w:tabs>
        <w:rPr>
          <w:sz w:val="20"/>
          <w:szCs w:val="20"/>
          <w:color w:val="auto"/>
        </w:rPr>
      </w:pPr>
      <w:r>
        <w:rPr>
          <w:rFonts w:ascii="Arial" w:cs="Arial" w:eastAsia="Arial" w:hAnsi="Arial"/>
          <w:sz w:val="20"/>
          <w:szCs w:val="20"/>
          <w:color w:val="auto"/>
        </w:rPr>
        <w:t>Research and development</w:t>
      </w:r>
      <w:r>
        <w:rPr>
          <w:sz w:val="20"/>
          <w:szCs w:val="20"/>
          <w:color w:val="auto"/>
        </w:rPr>
        <w:tab/>
      </w:r>
      <w:r>
        <w:rPr>
          <w:rFonts w:ascii="Arial" w:cs="Arial" w:eastAsia="Arial" w:hAnsi="Arial"/>
          <w:sz w:val="17"/>
          <w:szCs w:val="17"/>
          <w:color w:val="auto"/>
        </w:rPr>
        <w:t>12</w:t>
      </w:r>
    </w:p>
    <w:p>
      <w:pPr>
        <w:spacing w:after="0" w:line="64" w:lineRule="exact"/>
        <w:rPr>
          <w:sz w:val="20"/>
          <w:szCs w:val="20"/>
          <w:color w:val="auto"/>
        </w:rPr>
      </w:pPr>
    </w:p>
    <w:p>
      <w:pPr>
        <w:ind w:left="60"/>
        <w:spacing w:after="0"/>
        <w:tabs>
          <w:tab w:leader="dot" w:pos="9540" w:val="left"/>
        </w:tabs>
        <w:rPr>
          <w:sz w:val="20"/>
          <w:szCs w:val="20"/>
          <w:color w:val="auto"/>
        </w:rPr>
      </w:pPr>
      <w:r>
        <w:rPr>
          <w:rFonts w:ascii="Arial" w:cs="Arial" w:eastAsia="Arial" w:hAnsi="Arial"/>
          <w:sz w:val="20"/>
          <w:szCs w:val="20"/>
          <w:color w:val="auto"/>
        </w:rPr>
        <w:t>Administrative</w:t>
      </w:r>
      <w:r>
        <w:rPr>
          <w:sz w:val="20"/>
          <w:szCs w:val="20"/>
          <w:color w:val="auto"/>
        </w:rPr>
        <w:tab/>
      </w:r>
      <w:r>
        <w:rPr>
          <w:rFonts w:ascii="Arial" w:cs="Arial" w:eastAsia="Arial" w:hAnsi="Arial"/>
          <w:sz w:val="17"/>
          <w:szCs w:val="17"/>
          <w:color w:val="auto"/>
        </w:rPr>
        <w:t>9</w:t>
      </w:r>
    </w:p>
    <w:p>
      <w:pPr>
        <w:spacing w:after="0" w:line="64" w:lineRule="exact"/>
        <w:rPr>
          <w:sz w:val="20"/>
          <w:szCs w:val="20"/>
          <w:color w:val="auto"/>
        </w:rPr>
      </w:pPr>
    </w:p>
    <w:p>
      <w:pPr>
        <w:ind w:left="60"/>
        <w:spacing w:after="0"/>
        <w:tabs>
          <w:tab w:leader="dot" w:pos="9500" w:val="left"/>
        </w:tabs>
        <w:rPr>
          <w:sz w:val="20"/>
          <w:szCs w:val="20"/>
          <w:color w:val="auto"/>
        </w:rPr>
      </w:pPr>
      <w:r>
        <w:rPr>
          <w:rFonts w:ascii="Arial" w:cs="Arial" w:eastAsia="Arial" w:hAnsi="Arial"/>
          <w:sz w:val="20"/>
          <w:szCs w:val="20"/>
          <w:color w:val="auto"/>
        </w:rPr>
        <w:t>Total</w:t>
      </w:r>
      <w:r>
        <w:rPr>
          <w:sz w:val="20"/>
          <w:szCs w:val="20"/>
          <w:color w:val="auto"/>
        </w:rPr>
        <w:tab/>
      </w:r>
      <w:r>
        <w:rPr>
          <w:rFonts w:ascii="Arial" w:cs="Arial" w:eastAsia="Arial" w:hAnsi="Arial"/>
          <w:sz w:val="17"/>
          <w:szCs w:val="17"/>
          <w:color w:val="auto"/>
        </w:rPr>
        <w:t>21</w:t>
      </w: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22"/>
          <w:szCs w:val="22"/>
          <w:color w:val="auto"/>
        </w:rPr>
        <w:t>None of our employees are represented by labor unions or covered by collective bargaining agreements. We consider our relationship with our employees to be good.</w:t>
      </w:r>
    </w:p>
    <w:p>
      <w:pPr>
        <w:sectPr>
          <w:pgSz w:w="11880" w:h="15480" w:orient="portrait"/>
          <w:cols w:equalWidth="0" w:num="1">
            <w:col w:w="10240"/>
          </w:cols>
          <w:pgMar w:left="820" w:top="58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240"/>
          </w:cols>
          <w:pgMar w:left="820" w:top="580" w:right="820" w:bottom="0" w:gutter="0" w:footer="0" w:header="0"/>
          <w:type w:val="continuous"/>
        </w:sectPr>
      </w:pPr>
    </w:p>
    <w:bookmarkStart w:id="45" w:name="page46"/>
    <w:bookmarkEnd w:id="45"/>
    <w:p>
      <w:pPr>
        <w:ind w:right="40"/>
        <w:spacing w:after="0" w:line="275" w:lineRule="auto"/>
        <w:rPr>
          <w:sz w:val="20"/>
          <w:szCs w:val="20"/>
          <w:color w:val="auto"/>
        </w:rPr>
      </w:pPr>
      <w:r>
        <w:rPr>
          <w:rFonts w:ascii="Arial" w:cs="Arial" w:eastAsia="Arial" w:hAnsi="Arial"/>
          <w:sz w:val="20"/>
          <w:szCs w:val="20"/>
          <w:color w:val="auto"/>
        </w:rPr>
        <w:t>A highly skilled and engaged workforce is critical to achieving our business objectives and bringing value to patients, shareholders, and all stakeholders. We foster an inclusive culture that attracts, retains, engages, and develops our people. Additionally, 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We provide robust compensation and benefits programs to help meet the needs of our employees. In addition to salaries, these programs include potential annual discretionary bonuses, stock awards, a 401(k) Plan, healthcare and insurance benefits, flexible spending accounts, paid time off, family leave and flexible work schedules, among others. In addition to our broad-based equity award programs, we have used targeted equity-based grants with vesting conditions to facilitate retention of personnel.</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color w:val="auto"/>
        </w:rPr>
        <w:t>We lease office space for our principal office on a month-to-month basis, which is located at 245 First Street, 18th Floor, Cambridge, MA 02142. We lease a facility containing approximately 25,578 square feet of office space, which is located at One Main Street, Cambridge, MA 02142. The lease expires on August 31, 2028, subject to an option to extend the lease for five additional years. In December 2022, we entered into a sublease for one floor, approximately 14,439 square feet, of our Cambridge, MA office space, which also terminates on August 31, 2028. In December 2025, we entered into a sublease for the other floor, approximately 11,139 square feet, of our Cambridge, MA office space, which also terminates on August 31, 2028. We also lease approximately 18,120 square feet of office and laboratory space at 430 East 29th Street, New York, New York 10016. The lease expires on August 30, 2032, subject to an option to extend the lease for five additional years. In June 2024, we entered into a sublease for our office and laboratory space in New York, NY. The sublease terminates on June 30, 2026.</w:t>
      </w:r>
    </w:p>
    <w:p>
      <w:pPr>
        <w:spacing w:after="0" w:line="187" w:lineRule="exact"/>
        <w:rPr>
          <w:sz w:val="20"/>
          <w:szCs w:val="20"/>
          <w:color w:val="auto"/>
        </w:rPr>
      </w:pPr>
    </w:p>
    <w:p>
      <w:pPr>
        <w:jc w:val="both"/>
        <w:ind w:right="40"/>
        <w:spacing w:after="0" w:line="351" w:lineRule="auto"/>
        <w:rPr>
          <w:sz w:val="20"/>
          <w:szCs w:val="20"/>
          <w:color w:val="auto"/>
        </w:rPr>
      </w:pPr>
      <w:r>
        <w:rPr>
          <w:rFonts w:ascii="Arial" w:cs="Arial" w:eastAsia="Arial" w:hAnsi="Arial"/>
          <w:sz w:val="19"/>
          <w:szCs w:val="19"/>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From time to time, we may become involved in legal proceedings arising in the ordinary course of our business. As of the date of this Annual Report, we were not a party to, or aware of,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48"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We were formed as an LLC in December 2014 and we converted to a corporation in September 2016 under the laws of the State of Delaware under the name ASET Therapeutics, Inc. On January 2, 2018, we changed our name to Black Diamond Therapeutics, Inc. Our principal executive offices are located at 245 First Street, 18th Floor, Cambridge, MA 02142, and our telephone number is 617-252-0848. As of December 31, 2025, we have one subsidiary, Black Diamond Therapeutics Security Corporation, which was incorporated in 2019.</w:t>
      </w:r>
    </w:p>
    <w:p>
      <w:pPr>
        <w:sectPr>
          <w:pgSz w:w="11880" w:h="15480" w:orient="portrait"/>
          <w:cols w:equalWidth="0" w:num="1">
            <w:col w:w="10240"/>
          </w:cols>
          <w:pgMar w:left="820" w:top="59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240"/>
          </w:cols>
          <w:pgMar w:left="820" w:top="590" w:right="82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Financial Information and Segments</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color w:val="auto"/>
        </w:rPr>
        <w:t>The financial information required under this Item 1 is incorporated herein by reference to the section of this Annual Report titled “</w:t>
      </w:r>
      <w:r>
        <w:rPr>
          <w:rFonts w:ascii="Arial" w:cs="Arial" w:eastAsia="Arial" w:hAnsi="Arial"/>
          <w:sz w:val="19"/>
          <w:szCs w:val="19"/>
          <w:b w:val="1"/>
          <w:bCs w:val="1"/>
          <w:i w:val="1"/>
          <w:iCs w:val="1"/>
          <w:color w:val="auto"/>
        </w:rPr>
        <w:t>Part II—Item 8—Financial Statements and Supplementary Data</w:t>
      </w:r>
      <w:r>
        <w:rPr>
          <w:rFonts w:ascii="Arial" w:cs="Arial" w:eastAsia="Arial" w:hAnsi="Arial"/>
          <w:sz w:val="19"/>
          <w:szCs w:val="19"/>
          <w:color w:val="auto"/>
        </w:rPr>
        <w:t>.” The Company manages its operations as a single segment for the purposes of assessing performance and making operating decisions. The Company’s singular focus is the development of selective medicines for patients with genetically defined cancers driven by oncogenes activated by allosteric mutations. See Note 2 to our consolidated audited financial statements included in this Annual Report. For financial information regarding our business, see “</w:t>
      </w:r>
      <w:r>
        <w:rPr>
          <w:rFonts w:ascii="Arial" w:cs="Arial" w:eastAsia="Arial" w:hAnsi="Arial"/>
          <w:sz w:val="19"/>
          <w:szCs w:val="19"/>
          <w:b w:val="1"/>
          <w:bCs w:val="1"/>
          <w:i w:val="1"/>
          <w:iCs w:val="1"/>
          <w:color w:val="auto"/>
        </w:rPr>
        <w:t>Part II—Item 7—Management’s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Discussion and Analysis of Financial Condition and Results of Operations</w:t>
      </w:r>
      <w:r>
        <w:rPr>
          <w:rFonts w:ascii="Arial" w:cs="Arial" w:eastAsia="Arial" w:hAnsi="Arial"/>
          <w:sz w:val="19"/>
          <w:szCs w:val="19"/>
          <w:color w:val="auto"/>
        </w:rPr>
        <w:t>” of this Annual Report and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consolidated audited financial statements and related notes included elsewhere in this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Our Internet address is www.blackdiamondtherapeutics.com.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&amp; News” portion of our website free of charge as soon as reasonably practicable after we electronically file such material with, or furnish it to, the SEC. Information on our website is not part of this Annual Report or any of our other securities filings unless specifically incorporated herein by reference. We have included our website address in this Annual Report solely as an inactive textual reference. Our filings with the SEC may be accessed through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ectPr>
          <w:pgSz w:w="11880" w:h="15480" w:orient="portrait"/>
          <w:cols w:equalWidth="0" w:num="1">
            <w:col w:w="10240"/>
          </w:cols>
          <w:pgMar w:left="820" w:top="58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240"/>
          </w:cols>
          <w:pgMar w:left="820" w:top="582" w:right="82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Item 1A. Risk Factors</w:t>
      </w:r>
    </w:p>
    <w:p>
      <w:pPr>
        <w:spacing w:after="0" w:line="245"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b w:val="1"/>
          <w:bCs w:val="1"/>
          <w:i w:val="1"/>
          <w:iCs w:val="1"/>
          <w:color w:val="auto"/>
        </w:rPr>
        <w:t>Careful consideration should be given to the following risk factors, in addition to the other information set forth in this Annual Report and in other documents that we file with the SEC, in evaluating the Company and our business. Investing in our common stock involves a high degree of risk. If any of the following risks and uncertainties actually occurs, our business, prospects, financial condition and results of operations could be materially and adversely affected. The risks and uncertainties summarized and described below are not intended to be exhaustive and are not the only ones we face. Additional risks and uncertainties not presently known to us or that we currently deem immaterial may also impair our business, prospects, financial condition and results of operations. Certain statements in this Annual Report are forward-looking statements. Please also see the section entitled “Special Note Regarding 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development of our product candidates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clinical development</w:t>
      </w:r>
    </w:p>
    <w:p>
      <w:pPr>
        <w:spacing w:after="0" w:line="231" w:lineRule="exact"/>
        <w:rPr>
          <w:sz w:val="20"/>
          <w:szCs w:val="20"/>
          <w:color w:val="auto"/>
        </w:rPr>
      </w:pPr>
    </w:p>
    <w:p>
      <w:pPr>
        <w:jc w:val="both"/>
        <w:ind w:right="320"/>
        <w:spacing w:after="0" w:line="330"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clinical-stage product candidate, silevertinib. If we are unable to advance silevertinib or any of our future product candidates through clinical development, obtain regulatory approval and ultimately commercialize silevertinib or any of our future product candidates, or experience significant delays in doing so, our business will be materially harmed.</w:t>
      </w:r>
    </w:p>
    <w:p>
      <w:pPr>
        <w:spacing w:after="0" w:line="141"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We are very early in our development efforts. We are currently evaluating silevertinib in a Phase 2 clinical trial in patients with EGFRm NSCLC and an investigator sponsored Phase 0/1 trial in patients with GBM, and plan to initiate a randomized Phase 2 trial of silevertinib in newly diagnosed patients with EGFR altered GBM. We are evaluating partnership opportunities for our development-stage product candidate, BDTX-4876. Our ability to generate product revenues, which we do not expect will occur for many years, if ever, will depend heavily on the successful clinical development and eventual commercialization of silevertinib or one or more of our future product candidates. The success of our product candidates will depend on several factors, including the following:</w:t>
      </w:r>
    </w:p>
    <w:p>
      <w:pPr>
        <w:spacing w:after="0" w:line="64" w:lineRule="exact"/>
        <w:rPr>
          <w:sz w:val="20"/>
          <w:szCs w:val="20"/>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successful completion of preclinical studies;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approval of INDs for our planned clinical trials or future clinical trials;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FDA acceptance of our clinical development strategy;</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successful initiation of clinical trials;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successful patient enrollment in and completion of clinical trials;</w:t>
      </w:r>
    </w:p>
    <w:p>
      <w:pPr>
        <w:spacing w:after="0" w:line="123" w:lineRule="exact"/>
        <w:rPr>
          <w:rFonts w:ascii="Arial" w:cs="Arial" w:eastAsia="Arial" w:hAnsi="Arial"/>
          <w:sz w:val="22"/>
          <w:szCs w:val="22"/>
          <w:color w:val="auto"/>
        </w:rPr>
      </w:pPr>
    </w:p>
    <w:p>
      <w:pPr>
        <w:ind w:left="360" w:right="100" w:hanging="356"/>
        <w:spacing w:after="0" w:line="271" w:lineRule="auto"/>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safety, tolerability and efficacy profiles for our product candidates that are satisfactory to the FDA or any foreign regulatory authority for marketing approval;</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receipt of marketing approvals for our product candidates from applicable regulatory authorities;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extent of any required post-marketing approval commitments to applicable regulatory authorities;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obtaining and maintaining patent and trade secret protection and regulatory exclusivity for our product candidates;</w:t>
      </w:r>
    </w:p>
    <w:p>
      <w:pPr>
        <w:spacing w:after="0" w:line="157" w:lineRule="exact"/>
        <w:rPr>
          <w:rFonts w:ascii="Arial" w:cs="Arial" w:eastAsia="Arial" w:hAnsi="Arial"/>
          <w:sz w:val="19"/>
          <w:szCs w:val="19"/>
          <w:color w:val="auto"/>
        </w:rPr>
      </w:pPr>
    </w:p>
    <w:p>
      <w:pPr>
        <w:ind w:left="360" w:right="100" w:hanging="356"/>
        <w:spacing w:after="0" w:line="322" w:lineRule="auto"/>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making arrangements with third-party manufacturers, or establishing manufacturing capabilities, for both clinical and commercial supplies of our product candidates, if any product candidates are approved;</w:t>
      </w:r>
    </w:p>
    <w:p>
      <w:pPr>
        <w:spacing w:after="0" w:line="17" w:lineRule="exact"/>
        <w:rPr>
          <w:rFonts w:ascii="Arial" w:cs="Arial" w:eastAsia="Arial" w:hAnsi="Arial"/>
          <w:sz w:val="20"/>
          <w:szCs w:val="20"/>
          <w:color w:val="auto"/>
        </w:rPr>
      </w:pPr>
    </w:p>
    <w:p>
      <w:pPr>
        <w:ind w:left="360" w:right="140" w:hanging="356"/>
        <w:spacing w:after="0" w:line="271" w:lineRule="auto"/>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establishing sales, marketing and distribution capabilities and launching commercial sales of our products, if and when approved, whether alone or in collaboration with others;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acceptance of our products, if and when approved, by patients, the medical community and third-party payors;</w:t>
      </w:r>
    </w:p>
    <w:p>
      <w:pPr>
        <w:spacing w:after="0" w:line="146" w:lineRule="exact"/>
        <w:rPr>
          <w:rFonts w:ascii="Arial" w:cs="Arial" w:eastAsia="Arial" w:hAnsi="Arial"/>
          <w:sz w:val="20"/>
          <w:szCs w:val="20"/>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effectively competing with other cancer therapies;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obtaining and maintaining third-party coverage and adequate reimbursement;</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maintaining a continued acceptable safety profile of our products following approval; and</w:t>
      </w:r>
    </w:p>
    <w:p>
      <w:pPr>
        <w:sectPr>
          <w:pgSz w:w="11880" w:h="15480" w:orient="portrait"/>
          <w:cols w:equalWidth="0" w:num="1">
            <w:col w:w="10220"/>
          </w:cols>
          <w:pgMar w:left="820" w:top="67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220"/>
          </w:cols>
          <w:pgMar w:left="820" w:top="670" w:right="840" w:bottom="0" w:gutter="0" w:footer="0" w:header="0"/>
          <w:type w:val="continuous"/>
        </w:sectPr>
      </w:pPr>
    </w:p>
    <w:bookmarkStart w:id="48" w:name="page49"/>
    <w:bookmarkEnd w:id="48"/>
    <w:p>
      <w:pPr>
        <w:ind w:left="360" w:right="380" w:hanging="356"/>
        <w:spacing w:after="0" w:line="271" w:lineRule="auto"/>
        <w:tabs>
          <w:tab w:leader="none" w:pos="3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factors we may not be able to control, such as current or potential pandemics that may limit patients, principal investigators or staff or clinical site availability.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There is no guarantee that the results obtained in preclinical studies or our ongoing clinical trials of silevertinib will be sufficient to obtain regulatory approval or marketing authorization. Negative results in the development of our lead product candidate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affect the ability to obtain regulatory approval to continue or conduct clinical programs for other product candidates. Moreover, anti-tumor activity may be different in each of the different tumor types and for the different genetic mutations we plan on evaluating in the clinical trial and may differ from the results seen in our preclinical studies. Therefore, the tumor response may be low in patients with some cancers compared to others. This may result in discontinuation of development of a product candidate for patients with these tumor types and/or mutations due to insufficient clinical benefit while continuing development for a more limited population of patients more likely to benefit. As a consequence, we may have to negotiate with the FDA to reach agreement on defining the optimal patient population, study design and size in order to obtain regulatory approval, any of which may require significant additional resources and delay the timing of our clinical trials and ultimately the approval, if any, of any of our product candidates.</w:t>
      </w:r>
    </w:p>
    <w:p>
      <w:pPr>
        <w:spacing w:after="0" w:line="192"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In addition, because we have limited financial and personnel resources and are placing significant focus on the development of our lead clinical-stage product candidate,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relinquish valuable rights to those product candidates through collaboration, licensing or other royalty arrangements in cases in which it would have been more advantageous for us to retain sole development and commercialization rights to such product candidates.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i w:val="1"/>
          <w:iCs w:val="1"/>
          <w:color w:val="auto"/>
        </w:rPr>
        <w:t>Difficulty in enrolling patients could delay or prevent clinical trials of our product candidates. We may find it difficult to enroll patients in our Phase 2 clinical trial for silevertinib or future product candidates with the genetic mutations these product candidates are designed to target.</w:t>
      </w:r>
    </w:p>
    <w:p>
      <w:pPr>
        <w:spacing w:after="0" w:line="196"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Identifying and qualifying patients to participate in clinical studies of our product candidates is critical to our success. The timing of completion of our clinical studies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genetic mutations, our ability to enroll eligible patients may be limited or may result in slower enrollment than we anticipate. For example, for silevertinib, we cannot be certain how many patients will have the genetic mutations that this product candidate is designed to target or that the number of patients enrolled for each mutation will suffice for regulatory approval and inclusion of each such mutation in the approved label.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220"/>
          </w:cols>
          <w:pgMar w:left="820" w:top="678" w:right="840" w:bottom="0" w:gutter="0" w:footer="0" w:header="0"/>
          <w:type w:val="continuous"/>
        </w:sectPr>
      </w:pPr>
    </w:p>
    <w:bookmarkStart w:id="49" w:name="page50"/>
    <w:bookmarkEnd w:id="49"/>
    <w:p>
      <w:pPr>
        <w:spacing w:after="0" w:line="275" w:lineRule="auto"/>
        <w:rPr>
          <w:sz w:val="20"/>
          <w:szCs w:val="20"/>
          <w:color w:val="auto"/>
        </w:rPr>
      </w:pPr>
      <w:r>
        <w:rPr>
          <w:rFonts w:ascii="Arial" w:cs="Arial" w:eastAsia="Arial" w:hAnsi="Arial"/>
          <w:sz w:val="20"/>
          <w:szCs w:val="20"/>
          <w:color w:val="auto"/>
        </w:rPr>
        <w:t>In addition to the potentially small populations,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study. Additionally, the process of finding and diagnosing patients may prove costly. We also may not be able to identify, recruit and enroll a sufficient number of patients to complete our clinical studies because of the perceived risks and benefits of the product candidate under study, the availability and efficacy of competing therapies and clinical trials, the proximity and availability of clinical study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87" w:lineRule="exact"/>
        <w:rPr>
          <w:sz w:val="20"/>
          <w:szCs w:val="20"/>
          <w:color w:val="auto"/>
        </w:rPr>
      </w:pPr>
    </w:p>
    <w:p>
      <w:pPr>
        <w:jc w:val="both"/>
        <w:ind w:right="320"/>
        <w:spacing w:after="0" w:line="318" w:lineRule="auto"/>
        <w:rPr>
          <w:sz w:val="20"/>
          <w:szCs w:val="20"/>
          <w:color w:val="auto"/>
        </w:rPr>
      </w:pPr>
      <w:r>
        <w:rPr>
          <w:rFonts w:ascii="Arial" w:cs="Arial" w:eastAsia="Arial" w:hAnsi="Arial"/>
          <w:sz w:val="19"/>
          <w:szCs w:val="19"/>
          <w:color w:val="auto"/>
        </w:rPr>
        <w:t>If we are unable to identify patients with the targeted genetic mutations, this could compromise our ability to seek participation in FDA’s expedited review and development programs, including Breakthrough Therapy Designation and Fast Track Designation, or otherwise seek to accelerate clinical development and regulatory timelines.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The enrollment of patients further depends on many factors, including:</w:t>
      </w:r>
    </w:p>
    <w:p>
      <w:pPr>
        <w:spacing w:after="0" w:line="123" w:lineRule="exact"/>
        <w:rPr>
          <w:sz w:val="20"/>
          <w:szCs w:val="20"/>
          <w:color w:val="auto"/>
        </w:rPr>
      </w:pPr>
    </w:p>
    <w:p>
      <w:pPr>
        <w:ind w:left="360" w:hanging="356"/>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proximity of patients to clinical trial sites;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design of the clinical trial;</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recruit clinical trial investigators with the appropriate competencies and experience;</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obtain and maintain patient consents;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impacts of any pandemic or epidemic on clinical trial site activation and patient enrollment;</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reporting of the preliminary results of any of our clinical trials; and</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risk that patients enrolled in clinical trials will drop out of the clinical trials before clinical trial completion.</w:t>
      </w:r>
    </w:p>
    <w:p>
      <w:pPr>
        <w:spacing w:after="0" w:line="264"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most of our product candidates have not been tested in humans before, potential patients and their doctors may be inclined to use conventional therapies, such as chemotherapy, rather than enroll patients in any future clinical trial. Additionally, because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spacing w:after="0" w:line="172" w:lineRule="exact"/>
        <w:rPr>
          <w:sz w:val="20"/>
          <w:szCs w:val="20"/>
          <w:color w:val="auto"/>
        </w:rPr>
      </w:pPr>
    </w:p>
    <w:p>
      <w:pPr>
        <w:ind w:right="100"/>
        <w:spacing w:after="0" w:line="258" w:lineRule="auto"/>
        <w:rPr>
          <w:sz w:val="20"/>
          <w:szCs w:val="20"/>
          <w:color w:val="auto"/>
        </w:rPr>
      </w:pPr>
      <w:r>
        <w:rPr>
          <w:rFonts w:ascii="Arial" w:cs="Arial" w:eastAsia="Arial" w:hAnsi="Arial"/>
          <w:sz w:val="22"/>
          <w:szCs w:val="22"/>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240"/>
          </w:cols>
          <w:pgMar w:left="820" w:top="678" w:right="82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2"/>
          <w:szCs w:val="22"/>
          <w:b w:val="1"/>
          <w:bCs w:val="1"/>
          <w:i w:val="1"/>
          <w:iCs w:val="1"/>
          <w:color w:val="auto"/>
        </w:rPr>
        <w:t>We have limited experience as a company in conducting clinical trials.</w:t>
      </w:r>
    </w:p>
    <w:p>
      <w:pPr>
        <w:spacing w:after="0" w:line="250"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color w:val="auto"/>
        </w:rPr>
        <w:t>We have limited experience as a company in conducting clinical trials. In part because of this limited experience, we cannot be certain that any ongoing preclinical studies and clinical trials will be completed on time or if planned preclinical studies and clinical trials will begin or be completed on time, if at all. Large-scale clinical trials would require significant additional financial and management resources and reliance on third-party clinical investigators, contract research organizations (CROs), and consultants. Relying on third-party clinical investigators, CROs and consultants may force us to encounter delays that are outside of our control. We may be unable to identify and contract with sufficient investigators, CROs and consultants on a timely basis or at all. For silevertinib, we have entered into master services agreements with CROs to conduct our clinical trials. There can be no assurance that we will be able to negotiate and enter into any additional master services agreement with other CROs, as necessary, on terms that are acceptable to us on a timely basis or at all.</w:t>
      </w:r>
    </w:p>
    <w:p>
      <w:pPr>
        <w:spacing w:after="0" w:line="178" w:lineRule="exact"/>
        <w:rPr>
          <w:sz w:val="20"/>
          <w:szCs w:val="20"/>
          <w:color w:val="auto"/>
        </w:rPr>
      </w:pPr>
    </w:p>
    <w:p>
      <w:pPr>
        <w:ind w:right="460"/>
        <w:spacing w:after="0" w:line="261" w:lineRule="auto"/>
        <w:rPr>
          <w:sz w:val="20"/>
          <w:szCs w:val="20"/>
          <w:color w:val="auto"/>
        </w:rPr>
      </w:pPr>
      <w:r>
        <w:rPr>
          <w:rFonts w:ascii="Arial" w:cs="Arial" w:eastAsia="Arial" w:hAnsi="Arial"/>
          <w:sz w:val="22"/>
          <w:szCs w:val="22"/>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19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Before obtaining regulatory approvals for the commercial sale of our product candidates, including silevertinib, we must demonstrate through lengthy, complex and expensive preclinical studies and clinical trials that our product candidates are both safe and effective for use in each target indication.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 desired safety, potency, purity and efficacy profile despite having progressed through preclinical studies and initial clinical trials. Likewise, early, smaller-scale clinical trials may not be predictive of eventual safety or effectiveness in large-scale pivotal clinical trials. A number of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Any preclinical studies or clinical trials that we may conduct may not demonstrate the safety, potency, purity and efficacy necessary to obtain regulatory approval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As is the case with all oncology drugs,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ectPr>
          <w:pgSz w:w="11880" w:h="15480" w:orient="portrait"/>
          <w:cols w:equalWidth="0" w:num="1">
            <w:col w:w="10240"/>
          </w:cols>
          <w:pgMar w:left="820" w:top="668" w:right="82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240"/>
          </w:cols>
          <w:pgMar w:left="820" w:top="668" w:right="820" w:bottom="0" w:gutter="0" w:footer="0" w:header="0"/>
          <w:type w:val="continuous"/>
        </w:sectPr>
      </w:pPr>
    </w:p>
    <w:bookmarkStart w:id="51" w:name="page52"/>
    <w:bookmarkEnd w:id="51"/>
    <w:p>
      <w:pPr>
        <w:ind w:right="20"/>
        <w:spacing w:after="0" w:line="292" w:lineRule="auto"/>
        <w:rPr>
          <w:sz w:val="20"/>
          <w:szCs w:val="20"/>
          <w:color w:val="auto"/>
        </w:rPr>
      </w:pPr>
      <w:r>
        <w:rPr>
          <w:rFonts w:ascii="Arial" w:cs="Arial" w:eastAsia="Arial" w:hAnsi="Arial"/>
          <w:sz w:val="19"/>
          <w:szCs w:val="19"/>
          <w:color w:val="auto"/>
        </w:rPr>
        <w:t>Further, our product candidates could cause undesirable side effects in clinical trials related to on-target toxicity. For example, other EGFR inhibitors have experienced dose limiting toxicities due to rash in patients and, although we have designed our product candidates to be “wild-type” sparing to limit the risk of similar toxicities, clinical results may differ and patients may also experience similar or different toxicities that limit the dose and/or efficacy of our product candidates.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2" w:lineRule="exact"/>
        <w:rPr>
          <w:sz w:val="20"/>
          <w:szCs w:val="20"/>
          <w:color w:val="auto"/>
        </w:rPr>
      </w:pPr>
    </w:p>
    <w:p>
      <w:pPr>
        <w:ind w:right="340"/>
        <w:spacing w:after="0" w:line="276" w:lineRule="auto"/>
        <w:rPr>
          <w:sz w:val="20"/>
          <w:szCs w:val="20"/>
          <w:color w:val="auto"/>
        </w:rPr>
      </w:pPr>
      <w:r>
        <w:rPr>
          <w:rFonts w:ascii="Arial" w:cs="Arial" w:eastAsia="Arial" w:hAnsi="Arial"/>
          <w:sz w:val="22"/>
          <w:szCs w:val="22"/>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We submitted an IND for silevertinib in December 2021, which was allowed by the FDA in the first quarter of 2022. However,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78" w:lineRule="exact"/>
        <w:rPr>
          <w:sz w:val="20"/>
          <w:szCs w:val="20"/>
          <w:color w:val="auto"/>
        </w:rPr>
      </w:pPr>
    </w:p>
    <w:p>
      <w:pPr>
        <w:ind w:right="360"/>
        <w:spacing w:after="0" w:line="289" w:lineRule="auto"/>
        <w:rPr>
          <w:sz w:val="20"/>
          <w:szCs w:val="20"/>
          <w:color w:val="auto"/>
        </w:rPr>
      </w:pPr>
      <w:r>
        <w:rPr>
          <w:rFonts w:ascii="Arial" w:cs="Arial" w:eastAsia="Arial" w:hAnsi="Arial"/>
          <w:sz w:val="20"/>
          <w:szCs w:val="20"/>
          <w:b w:val="1"/>
          <w:bCs w:val="1"/>
          <w:i w:val="1"/>
          <w:iCs w:val="1"/>
          <w:color w:val="auto"/>
        </w:rPr>
        <w:t>Since the number of patients that we plan to dose in our Phase 2 clinical trial of silevertinib is smaller than the number of patients that would be enrolled in a registration trial, the results from such clinical trials, once completed, may be less reliable than results achieved in larger clinical trials, which may hinder our efforts to obtain regulatory approval for our product candidates.</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20"/>
          <w:szCs w:val="20"/>
          <w:color w:val="auto"/>
        </w:rPr>
        <w:t>The number of patients that we plan to dose in our initial clinical trials is small. The preliminary results of clinical trials with smaller sample sizes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As a result, there may be less certainty that such product candidates would achieve a statistically significant effect in any future clinical trials. If we conduct any future clinical trials of silevertinib, we may not achieve a statistically significant result or the same level of statistical significance, if any, that we might have anticipated based on the results observed in our initial clinical trials.</w:t>
      </w:r>
    </w:p>
    <w:p>
      <w:pPr>
        <w:spacing w:after="0" w:line="183"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drug candidate. If our product candidates receive marketing approval and we or others identify undesirable side effects caused by such product candidates (or any other similar drugs) after such approval, a number of potentially significant negative consequences could result, including:</w:t>
      </w:r>
    </w:p>
    <w:p>
      <w:pPr>
        <w:spacing w:after="0" w:line="89" w:lineRule="exact"/>
        <w:rPr>
          <w:sz w:val="20"/>
          <w:szCs w:val="20"/>
          <w:color w:val="auto"/>
        </w:rPr>
      </w:pPr>
    </w:p>
    <w:p>
      <w:pPr>
        <w:ind w:left="360" w:hanging="356"/>
        <w:spacing w:after="0"/>
        <w:tabs>
          <w:tab w:leader="none" w:pos="3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regulatory authorities may withdraw or limit their approval of such product candidates;</w:t>
      </w:r>
    </w:p>
    <w:p>
      <w:pPr>
        <w:spacing w:after="0" w:line="123" w:lineRule="exact"/>
        <w:rPr>
          <w:rFonts w:ascii="Arial" w:cs="Arial" w:eastAsia="Arial" w:hAnsi="Arial"/>
          <w:sz w:val="22"/>
          <w:szCs w:val="22"/>
          <w:color w:val="auto"/>
        </w:rPr>
      </w:pPr>
    </w:p>
    <w:p>
      <w:pPr>
        <w:ind w:left="360" w:right="1080" w:hanging="356"/>
        <w:spacing w:after="0" w:line="271" w:lineRule="auto"/>
        <w:tabs>
          <w:tab w:leader="none" w:pos="3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regulatory authorities may require the addition of labeling statements, such as a “boxed” warning or a contraindication;</w:t>
      </w:r>
    </w:p>
    <w:p>
      <w:pPr>
        <w:spacing w:after="0" w:line="63" w:lineRule="exact"/>
        <w:rPr>
          <w:rFonts w:ascii="Arial" w:cs="Arial" w:eastAsia="Arial" w:hAnsi="Arial"/>
          <w:sz w:val="22"/>
          <w:szCs w:val="22"/>
          <w:color w:val="auto"/>
        </w:rPr>
      </w:pPr>
    </w:p>
    <w:p>
      <w:pPr>
        <w:ind w:left="360" w:hanging="356"/>
        <w:spacing w:after="0" w:line="271" w:lineRule="auto"/>
        <w:tabs>
          <w:tab w:leader="none" w:pos="3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we may be required to change the way such product candidates are distributed or administered, conduct additional clinical trials or change the labeling of the product candidates;</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200"/>
          </w:cols>
          <w:pgMar w:left="820" w:top="678" w:right="860" w:bottom="0" w:gutter="0" w:footer="0" w:header="0"/>
          <w:type w:val="continuous"/>
        </w:sectPr>
      </w:pPr>
    </w:p>
    <w:bookmarkStart w:id="52" w:name="page53"/>
    <w:bookmarkEnd w:id="52"/>
    <w:p>
      <w:pPr>
        <w:ind w:left="360" w:right="360" w:hanging="356"/>
        <w:spacing w:after="0" w:line="258" w:lineRule="auto"/>
        <w:tabs>
          <w:tab w:leader="none" w:pos="3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77" w:lineRule="exact"/>
        <w:rPr>
          <w:rFonts w:ascii="Arial" w:cs="Arial" w:eastAsia="Arial" w:hAnsi="Arial"/>
          <w:sz w:val="22"/>
          <w:szCs w:val="22"/>
          <w:color w:val="auto"/>
        </w:rPr>
      </w:pPr>
    </w:p>
    <w:p>
      <w:pPr>
        <w:ind w:left="360" w:hanging="356"/>
        <w:spacing w:after="0"/>
        <w:tabs>
          <w:tab w:leader="none" w:pos="3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we may be subject to regulatory investigations and government enforcement actions;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we may decide to remove such product candidates from the marketplace;</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we could be sued and held liable for injury caused to individuals exposed to or taking our product candidates; and</w:t>
      </w:r>
    </w:p>
    <w:p>
      <w:pPr>
        <w:spacing w:after="0" w:line="157" w:lineRule="exact"/>
        <w:rPr>
          <w:rFonts w:ascii="Arial" w:cs="Arial" w:eastAsia="Arial" w:hAnsi="Arial"/>
          <w:sz w:val="19"/>
          <w:szCs w:val="19"/>
          <w:color w:val="auto"/>
        </w:rPr>
      </w:pPr>
    </w:p>
    <w:p>
      <w:pPr>
        <w:ind w:left="360" w:hanging="356"/>
        <w:spacing w:after="0"/>
        <w:tabs>
          <w:tab w:leader="none" w:pos="3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our reputation may suffer.</w:t>
      </w:r>
    </w:p>
    <w:p>
      <w:pPr>
        <w:spacing w:after="0" w:line="241" w:lineRule="exact"/>
        <w:rPr>
          <w:sz w:val="20"/>
          <w:szCs w:val="20"/>
          <w:color w:val="auto"/>
        </w:rPr>
      </w:pPr>
    </w:p>
    <w:p>
      <w:pPr>
        <w:jc w:val="both"/>
        <w:ind w:right="60"/>
        <w:spacing w:after="0" w:line="318" w:lineRule="auto"/>
        <w:rPr>
          <w:sz w:val="20"/>
          <w:szCs w:val="20"/>
          <w:color w:val="auto"/>
        </w:rPr>
      </w:pPr>
      <w:r>
        <w:rPr>
          <w:rFonts w:ascii="Arial" w:cs="Arial" w:eastAsia="Arial" w:hAnsi="Arial"/>
          <w:sz w:val="19"/>
          <w:szCs w:val="19"/>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133"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b w:val="1"/>
          <w:bCs w:val="1"/>
          <w:i w:val="1"/>
          <w:iCs w:val="1"/>
          <w:color w:val="auto"/>
        </w:rPr>
        <w:t>Clinical development involves a lengthy and expensive process with an uncertain outcome,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9"/>
          <w:szCs w:val="19"/>
          <w:color w:val="auto"/>
        </w:rPr>
        <w:t>Our lead product candidate is in early clinical development and its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7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We cannot be certain that our preclinical study and clinical trial results will be sufficient to support regulatory approval of our product candidates.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our Phase 2 clinical trial of silevertinib in patients with EGFRm NSCLC included an open-label dosing design, the results from this clinical trial may not be predictive of future clinical trial results with this or other product candidates for which we conduct an open-label clinical trial when studied in a controlled environment with a placebo or active control.</w:t>
      </w:r>
    </w:p>
    <w:p>
      <w:pPr>
        <w:sectPr>
          <w:pgSz w:w="11880" w:h="15480" w:orient="portrait"/>
          <w:cols w:equalWidth="0" w:num="1">
            <w:col w:w="10240"/>
          </w:cols>
          <w:pgMar w:left="820" w:top="678" w:right="820" w:bottom="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240"/>
          </w:cols>
          <w:pgMar w:left="820" w:top="678" w:right="820" w:bottom="0" w:gutter="0" w:footer="0" w:header="0"/>
          <w:type w:val="continuous"/>
        </w:sectPr>
      </w:pPr>
    </w:p>
    <w:bookmarkStart w:id="53" w:name="page54"/>
    <w:bookmarkEnd w:id="53"/>
    <w:p>
      <w:pPr>
        <w:spacing w:after="0" w:line="251" w:lineRule="auto"/>
        <w:rPr>
          <w:sz w:val="20"/>
          <w:szCs w:val="20"/>
          <w:color w:val="auto"/>
        </w:rPr>
      </w:pPr>
      <w:r>
        <w:rPr>
          <w:rFonts w:ascii="Arial" w:cs="Arial" w:eastAsia="Arial" w:hAnsi="Arial"/>
          <w:sz w:val="22"/>
          <w:szCs w:val="22"/>
          <w:color w:val="auto"/>
        </w:rPr>
        <w:t>We may experience delays in obtaining the FDA’s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subjects on time, or be completed on schedule, if at all.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Clinical trials can be delayed or terminated for a variety of reasons, including delays or failures related to:</w:t>
      </w:r>
    </w:p>
    <w:p>
      <w:pPr>
        <w:spacing w:after="0" w:line="123" w:lineRule="exact"/>
        <w:rPr>
          <w:sz w:val="20"/>
          <w:szCs w:val="20"/>
          <w:color w:val="auto"/>
        </w:rPr>
      </w:pPr>
    </w:p>
    <w:p>
      <w:pPr>
        <w:ind w:left="360" w:right="600" w:hanging="356"/>
        <w:spacing w:after="0" w:line="271" w:lineRule="auto"/>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FDA or comparable foreign regulatory authorities disagreeing as to the design or implementation of our clinical trials;</w:t>
      </w:r>
    </w:p>
    <w:p>
      <w:pPr>
        <w:spacing w:after="0" w:line="85" w:lineRule="exact"/>
        <w:rPr>
          <w:rFonts w:ascii="Arial" w:cs="Arial" w:eastAsia="Arial" w:hAnsi="Arial"/>
          <w:sz w:val="22"/>
          <w:szCs w:val="22"/>
          <w:color w:val="auto"/>
        </w:rPr>
      </w:pPr>
    </w:p>
    <w:p>
      <w:pPr>
        <w:ind w:left="360" w:hanging="356"/>
        <w:spacing w:after="0"/>
        <w:tabs>
          <w:tab w:leader="none" w:pos="360" w:val="left"/>
        </w:tabs>
        <w:numPr>
          <w:ilvl w:val="0"/>
          <w:numId w:val="27"/>
        </w:numPr>
        <w:rPr>
          <w:rFonts w:ascii="Arial" w:cs="Arial" w:eastAsia="Arial" w:hAnsi="Arial"/>
          <w:sz w:val="22"/>
          <w:szCs w:val="22"/>
          <w:b w:val="1"/>
          <w:bCs w:val="1"/>
          <w:color w:val="auto"/>
        </w:rPr>
      </w:pPr>
      <w:r>
        <w:rPr>
          <w:rFonts w:ascii="Arial" w:cs="Arial" w:eastAsia="Arial" w:hAnsi="Arial"/>
          <w:sz w:val="21"/>
          <w:szCs w:val="21"/>
          <w:color w:val="auto"/>
        </w:rPr>
        <w:t>the FDA or comparable foreign regulatory authorities disagreeing with our clinical development strategy;</w:t>
      </w:r>
    </w:p>
    <w:p>
      <w:pPr>
        <w:spacing w:after="0" w:line="125" w:lineRule="exact"/>
        <w:rPr>
          <w:rFonts w:ascii="Arial" w:cs="Arial" w:eastAsia="Arial" w:hAnsi="Arial"/>
          <w:sz w:val="22"/>
          <w:szCs w:val="22"/>
          <w:b w:val="1"/>
          <w:bCs w:val="1"/>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delays in obtaining regulatory approval to commence a clinical trial;</w:t>
      </w:r>
    </w:p>
    <w:p>
      <w:pPr>
        <w:spacing w:after="0" w:line="123" w:lineRule="exact"/>
        <w:rPr>
          <w:rFonts w:ascii="Arial" w:cs="Arial" w:eastAsia="Arial" w:hAnsi="Arial"/>
          <w:sz w:val="22"/>
          <w:szCs w:val="22"/>
          <w:color w:val="auto"/>
        </w:rPr>
      </w:pPr>
    </w:p>
    <w:p>
      <w:pPr>
        <w:ind w:left="360" w:right="140" w:hanging="356"/>
        <w:spacing w:after="0" w:line="322"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17" w:lineRule="exact"/>
        <w:rPr>
          <w:rFonts w:ascii="Arial" w:cs="Arial" w:eastAsia="Arial" w:hAnsi="Arial"/>
          <w:sz w:val="20"/>
          <w:szCs w:val="20"/>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obtaining IRB approval at each clinical trial site;</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recruiting an adequate number of suitable patients to participate in a clinical trial;</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number of patients required for clinical trials of our product candidates may be larger than we anticipate;</w:t>
      </w:r>
    </w:p>
    <w:p>
      <w:pPr>
        <w:spacing w:after="0" w:line="146" w:lineRule="exact"/>
        <w:rPr>
          <w:rFonts w:ascii="Arial" w:cs="Arial" w:eastAsia="Arial" w:hAnsi="Arial"/>
          <w:sz w:val="20"/>
          <w:szCs w:val="20"/>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having subjects complete a clinical trial or return for post-treatment follow-up;</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clinical trial sites deviating from clinical trial protocol or dropping out of a clinical trial;</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addressing subject safety concerns that arise during the course of a clinical trial;</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adding a sufficient number of clinical trial sites; or</w:t>
      </w:r>
    </w:p>
    <w:p>
      <w:pPr>
        <w:spacing w:after="0" w:line="123" w:lineRule="exact"/>
        <w:rPr>
          <w:rFonts w:ascii="Arial" w:cs="Arial" w:eastAsia="Arial" w:hAnsi="Arial"/>
          <w:sz w:val="22"/>
          <w:szCs w:val="22"/>
          <w:color w:val="auto"/>
        </w:rPr>
      </w:pPr>
    </w:p>
    <w:p>
      <w:pPr>
        <w:ind w:left="360" w:right="140" w:hanging="356"/>
        <w:spacing w:after="0" w:line="271" w:lineRule="auto"/>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obtaining sufficient product supply of product candidate for use in preclinical studies or clinical trials from third-party suppliers.</w:t>
      </w:r>
    </w:p>
    <w:p>
      <w:pPr>
        <w:spacing w:after="0" w:line="181" w:lineRule="exact"/>
        <w:rPr>
          <w:sz w:val="20"/>
          <w:szCs w:val="20"/>
          <w:color w:val="auto"/>
        </w:rPr>
      </w:pPr>
    </w:p>
    <w:p>
      <w:pPr>
        <w:jc w:val="both"/>
        <w:ind w:right="240"/>
        <w:spacing w:after="0" w:line="258" w:lineRule="auto"/>
        <w:rPr>
          <w:sz w:val="20"/>
          <w:szCs w:val="20"/>
          <w:color w:val="auto"/>
        </w:rPr>
      </w:pPr>
      <w:r>
        <w:rPr>
          <w:rFonts w:ascii="Arial" w:cs="Arial" w:eastAsia="Arial" w:hAnsi="Arial"/>
          <w:sz w:val="22"/>
          <w:szCs w:val="22"/>
          <w:color w:val="auto"/>
        </w:rPr>
        <w:t>We may experience numerous adverse or unforeseen events during, or as a result of, preclinical studies and clinical trials that could delay or prevent our ability to receive marketing approval or commercialize our product candidates, including:</w:t>
      </w:r>
    </w:p>
    <w:p>
      <w:pPr>
        <w:spacing w:after="0" w:line="78" w:lineRule="exact"/>
        <w:rPr>
          <w:sz w:val="20"/>
          <w:szCs w:val="20"/>
          <w:color w:val="auto"/>
        </w:rPr>
      </w:pPr>
    </w:p>
    <w:p>
      <w:pPr>
        <w:ind w:left="360" w:hanging="356"/>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may receive feedback from regulatory authorities that requires us to modify the design of our clinical trials;</w:t>
      </w:r>
    </w:p>
    <w:p>
      <w:pPr>
        <w:spacing w:after="0" w:line="146" w:lineRule="exact"/>
        <w:rPr>
          <w:rFonts w:ascii="Arial" w:cs="Arial" w:eastAsia="Arial" w:hAnsi="Arial"/>
          <w:sz w:val="20"/>
          <w:szCs w:val="20"/>
          <w:color w:val="auto"/>
        </w:rPr>
      </w:pPr>
    </w:p>
    <w:p>
      <w:pPr>
        <w:ind w:left="360" w:right="500" w:hanging="356"/>
        <w:spacing w:after="0" w:line="258" w:lineRule="auto"/>
        <w:tabs>
          <w:tab w:leader="none" w:pos="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77" w:lineRule="exact"/>
        <w:rPr>
          <w:rFonts w:ascii="Arial" w:cs="Arial" w:eastAsia="Arial" w:hAnsi="Arial"/>
          <w:sz w:val="22"/>
          <w:szCs w:val="22"/>
          <w:color w:val="auto"/>
        </w:rPr>
      </w:pPr>
    </w:p>
    <w:p>
      <w:pPr>
        <w:ind w:left="360" w:right="520" w:hanging="356"/>
        <w:spacing w:after="0" w:line="271" w:lineRule="auto"/>
        <w:tabs>
          <w:tab w:leader="none" w:pos="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clinical trials of our product candidates may not produce differentiated or clinically significant results across tumor types or indications;</w:t>
      </w:r>
    </w:p>
    <w:p>
      <w:pPr>
        <w:spacing w:after="0" w:line="63" w:lineRule="exact"/>
        <w:rPr>
          <w:rFonts w:ascii="Arial" w:cs="Arial" w:eastAsia="Arial" w:hAnsi="Arial"/>
          <w:sz w:val="22"/>
          <w:szCs w:val="22"/>
          <w:color w:val="auto"/>
        </w:rPr>
      </w:pPr>
    </w:p>
    <w:p>
      <w:pPr>
        <w:ind w:left="360" w:right="360" w:hanging="356"/>
        <w:spacing w:after="0" w:line="258" w:lineRule="auto"/>
        <w:tabs>
          <w:tab w:leader="none" w:pos="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number of patients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77" w:lineRule="exact"/>
        <w:rPr>
          <w:rFonts w:ascii="Arial" w:cs="Arial" w:eastAsia="Arial" w:hAnsi="Arial"/>
          <w:sz w:val="22"/>
          <w:szCs w:val="22"/>
          <w:color w:val="auto"/>
        </w:rPr>
      </w:pPr>
    </w:p>
    <w:p>
      <w:pPr>
        <w:ind w:left="360" w:right="220" w:hanging="356"/>
        <w:spacing w:after="0" w:line="258" w:lineRule="auto"/>
        <w:tabs>
          <w:tab w:leader="none" w:pos="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spacing w:after="0" w:line="77" w:lineRule="exact"/>
        <w:rPr>
          <w:rFonts w:ascii="Arial" w:cs="Arial" w:eastAsia="Arial" w:hAnsi="Arial"/>
          <w:sz w:val="22"/>
          <w:szCs w:val="22"/>
          <w:color w:val="auto"/>
        </w:rPr>
      </w:pPr>
    </w:p>
    <w:p>
      <w:pPr>
        <w:ind w:left="360" w:right="160" w:hanging="356"/>
        <w:spacing w:after="0" w:line="254" w:lineRule="auto"/>
        <w:tabs>
          <w:tab w:leader="none" w:pos="3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240"/>
          </w:cols>
          <w:pgMar w:left="820" w:top="678" w:right="820" w:bottom="0" w:gutter="0" w:footer="0" w:header="0"/>
          <w:type w:val="continuous"/>
        </w:sectPr>
      </w:pPr>
    </w:p>
    <w:bookmarkStart w:id="54" w:name="page55"/>
    <w:bookmarkEnd w:id="54"/>
    <w:p>
      <w:pPr>
        <w:ind w:left="360" w:right="60" w:hanging="356"/>
        <w:spacing w:after="0" w:line="318" w:lineRule="auto"/>
        <w:tabs>
          <w:tab w:leader="none" w:pos="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cost of clinical trials of our product candidates may be greater than we anticipate, for example, if we experiences delays or challenges in identifying patients with the mutations required for our clinical trials, we may have to reimburse sites for genetic sequencing costs in order to encourage sequencing of additional patients;</w:t>
      </w:r>
    </w:p>
    <w:p>
      <w:pPr>
        <w:spacing w:after="0" w:line="25" w:lineRule="exact"/>
        <w:rPr>
          <w:rFonts w:ascii="Arial" w:cs="Arial" w:eastAsia="Arial" w:hAnsi="Arial"/>
          <w:sz w:val="19"/>
          <w:szCs w:val="19"/>
          <w:color w:val="auto"/>
        </w:rPr>
      </w:pPr>
    </w:p>
    <w:p>
      <w:pPr>
        <w:jc w:val="both"/>
        <w:ind w:left="360" w:hanging="356"/>
        <w:spacing w:after="0" w:line="258" w:lineRule="auto"/>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77" w:lineRule="exact"/>
        <w:rPr>
          <w:rFonts w:ascii="Arial" w:cs="Arial" w:eastAsia="Arial" w:hAnsi="Arial"/>
          <w:sz w:val="22"/>
          <w:szCs w:val="22"/>
          <w:color w:val="auto"/>
        </w:rPr>
      </w:pPr>
    </w:p>
    <w:p>
      <w:pPr>
        <w:ind w:left="360" w:right="100" w:hanging="356"/>
        <w:spacing w:after="0" w:line="271" w:lineRule="auto"/>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regulators may revise the requirements for approving our product candidates, or such requirements may not be as we anticipate; and</w:t>
      </w:r>
    </w:p>
    <w:p>
      <w:pPr>
        <w:spacing w:after="0" w:line="63" w:lineRule="exact"/>
        <w:rPr>
          <w:rFonts w:ascii="Arial" w:cs="Arial" w:eastAsia="Arial" w:hAnsi="Arial"/>
          <w:sz w:val="22"/>
          <w:szCs w:val="22"/>
          <w:color w:val="auto"/>
        </w:rPr>
      </w:pPr>
    </w:p>
    <w:p>
      <w:pPr>
        <w:ind w:left="360" w:right="20" w:hanging="356"/>
        <w:spacing w:after="0" w:line="271" w:lineRule="auto"/>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future collaborators may conduct clinical trials in ways they view as advantageous to them but that are suboptimal for us.</w:t>
      </w:r>
    </w:p>
    <w:p>
      <w:pPr>
        <w:spacing w:after="0" w:line="18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If we are required or choose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20"/>
          <w:szCs w:val="20"/>
          <w:color w:val="auto"/>
        </w:rPr>
        <w:t>If we experience delays in the completion, or termination, of any preclinical study or clinical trial of our product candidates,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MAP drug discovery engine could have little, if any, value, which would have a material and adverse effect on our business, financial condition, results of operations and prospects.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220"/>
          </w:cols>
          <w:pgMar w:left="820" w:top="678" w:right="840" w:bottom="0" w:gutter="0" w:footer="0" w:header="0"/>
          <w:type w:val="continuous"/>
        </w:sectPr>
      </w:pPr>
    </w:p>
    <w:bookmarkStart w:id="55" w:name="page56"/>
    <w:bookmarkEnd w:id="55"/>
    <w:p>
      <w:pPr>
        <w:ind w:right="240"/>
        <w:spacing w:after="0" w:line="358" w:lineRule="auto"/>
        <w:rPr>
          <w:sz w:val="20"/>
          <w:szCs w:val="20"/>
          <w:color w:val="auto"/>
        </w:rPr>
      </w:pPr>
      <w:r>
        <w:rPr>
          <w:rFonts w:ascii="Arial" w:cs="Arial" w:eastAsia="Arial" w:hAnsi="Arial"/>
          <w:sz w:val="19"/>
          <w:szCs w:val="19"/>
          <w:b w:val="1"/>
          <w:bCs w:val="1"/>
          <w:i w:val="1"/>
          <w:iCs w:val="1"/>
          <w:color w:val="auto"/>
        </w:rPr>
        <w:t>We are conducting the clinical trial for our lead product candidate at clinical sites outside the United States, and the FDA and comparable foreign regulatory authorities may not accept such data from such clinical sites.</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We are conducting the clinical trial for our lead product candidate at certain clinical sites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Further, recent policy proposals in the U.S., if enacted in the future, may make acceptance by the FDA or inclusion in a U.S. marketing application of foreign data more difficult or costly.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our approach</w:t>
      </w:r>
    </w:p>
    <w:p>
      <w:pPr>
        <w:spacing w:after="0" w:line="231"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b w:val="1"/>
          <w:bCs w:val="1"/>
          <w:i w:val="1"/>
          <w:iCs w:val="1"/>
          <w:color w:val="auto"/>
        </w:rPr>
        <w:t>We are focused on the development of precision medicines for patients with genetically defined cancers, which is a rapidly evolving area of science, and the approach we have taken to discover, and are taking to develop drugs is novel and may never lead to marketable products.</w:t>
      </w:r>
    </w:p>
    <w:p>
      <w:pPr>
        <w:spacing w:after="0" w:line="196"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the mutations targeted by our programs are oncogenic drivers, clinical results may not confirm this hypothesis or may only confirm it for certain mutations or certain tumor types. The patient populations for our product candidates are limited to those with specific target mutations and may not be completely defined but are substantially smaller than the general treated cancer population, and we will need to screen and identify these patients with the targeted mutations. Successful identification of patients is dependent on several factors, including achieving certainty as to how specific genetic alterations respond to our product candidates and using nucleic acid based testing methods, like Next-Generation Sequencing, to identify such genetic alterations. Furthermore, even if we are successful in identifying patients, we cannot be certain that the resulting patient populations for each mutation will be large enough to allow us to successfully obtain approval for each mutation type and commercialize our products and achieve profitability. In addition, even if our approach is successful in showing clinical benefit for tumors harboring the targeted mutations targeted in our current clinical trials, we may never successfully identify additional oncogenic mutations for other receptor tyrosine kinases. Therefore, we do not know if our approach of treating patients with genetically defined cancers will be successful, and if our approach is unsuccessful, our business will suffer.</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22"/>
          <w:szCs w:val="22"/>
          <w:b w:val="1"/>
          <w:bCs w:val="1"/>
          <w:i w:val="1"/>
          <w:iCs w:val="1"/>
          <w:color w:val="auto"/>
        </w:rPr>
        <w:t>Our approach to the development of product candidates is unproven, and we may not be successful in our efforts to develop product candidates with commercial value.</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220"/>
          </w:cols>
          <w:pgMar w:left="820" w:top="668" w:right="840" w:bottom="0" w:gutter="0" w:footer="0" w:header="0"/>
          <w:type w:val="continuous"/>
        </w:sectPr>
      </w:pPr>
    </w:p>
    <w:bookmarkStart w:id="56" w:name="page57"/>
    <w:bookmarkEnd w:id="56"/>
    <w:p>
      <w:pPr>
        <w:ind w:right="40"/>
        <w:spacing w:after="0" w:line="274" w:lineRule="auto"/>
        <w:rPr>
          <w:sz w:val="20"/>
          <w:szCs w:val="20"/>
          <w:color w:val="auto"/>
        </w:rPr>
      </w:pPr>
      <w:r>
        <w:rPr>
          <w:rFonts w:ascii="Arial" w:cs="Arial" w:eastAsia="Arial" w:hAnsi="Arial"/>
          <w:sz w:val="20"/>
          <w:szCs w:val="20"/>
          <w:color w:val="auto"/>
        </w:rPr>
        <w:t>A key element of our strategy has been to use our MAP drug discovery engine to build a pipeline of product candidates and progress these product candidates through clinical development for the treatment of various cancers. Although our research and development efforts to date have resulted in our discovery and development of silevertinib and BDTX-4933, these clinical-stage candidates may not be safe or effective as cancer treatments, and we may not be able to develop any other product candidates. Our MAP drug discovery engine may not in the future support the continued expansion of our pipeline of product candidates. Our pipeline of product candidates and potential future product candidates may not be suitable for further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80" w:lineRule="exact"/>
        <w:rPr>
          <w:sz w:val="20"/>
          <w:szCs w:val="20"/>
          <w:color w:val="auto"/>
        </w:rPr>
      </w:pPr>
    </w:p>
    <w:p>
      <w:pPr>
        <w:jc w:val="both"/>
        <w:ind w:right="140"/>
        <w:spacing w:after="0" w:line="261" w:lineRule="auto"/>
        <w:rPr>
          <w:sz w:val="20"/>
          <w:szCs w:val="20"/>
          <w:color w:val="auto"/>
        </w:rPr>
      </w:pPr>
      <w:r>
        <w:rPr>
          <w:rFonts w:ascii="Arial" w:cs="Arial" w:eastAsia="Arial" w:hAnsi="Arial"/>
          <w:sz w:val="22"/>
          <w:szCs w:val="22"/>
          <w:b w:val="1"/>
          <w:bCs w:val="1"/>
          <w:i w:val="1"/>
          <w:iCs w:val="1"/>
          <w:color w:val="auto"/>
        </w:rPr>
        <w:t>The market opportunities for our product candidates may be relatively small and limited to those patients who are ineligible for or have failed prior treatments and our estimates of the prevalence of our target patient populations may be inaccurate.</w:t>
      </w:r>
    </w:p>
    <w:p>
      <w:pPr>
        <w:spacing w:after="0" w:line="196" w:lineRule="exact"/>
        <w:rPr>
          <w:sz w:val="20"/>
          <w:szCs w:val="20"/>
          <w:color w:val="auto"/>
        </w:rPr>
      </w:pPr>
    </w:p>
    <w:p>
      <w:pPr>
        <w:ind w:right="80"/>
        <w:spacing w:after="0" w:line="289" w:lineRule="auto"/>
        <w:rPr>
          <w:sz w:val="20"/>
          <w:szCs w:val="20"/>
          <w:color w:val="auto"/>
        </w:rPr>
      </w:pPr>
      <w:r>
        <w:rPr>
          <w:rFonts w:ascii="Arial" w:cs="Arial" w:eastAsia="Arial" w:hAnsi="Arial"/>
          <w:sz w:val="19"/>
          <w:szCs w:val="19"/>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for use in patients with relapsed or refractory metastatic cancer.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220"/>
          </w:cols>
          <w:pgMar w:left="820" w:top="678" w:right="84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2"/>
          <w:szCs w:val="22"/>
          <w:u w:val="single" w:color="auto"/>
          <w:color w:val="auto"/>
        </w:rPr>
        <w:t>Risks related to global events</w:t>
      </w:r>
    </w:p>
    <w:p>
      <w:pPr>
        <w:spacing w:after="0" w:line="231"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b w:val="1"/>
          <w:bCs w:val="1"/>
          <w:i w:val="1"/>
          <w:iCs w:val="1"/>
          <w:color w:val="auto"/>
        </w:rPr>
        <w:t>Business, economic or geopolitical disruptions or global health concerns could seriously harm our development efforts and increase our costs and expenses.</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Broad-based business, macroeconomic conditions or market volatility resulting from national or global economic developments, political unrest, high inflation, changing interest rates, international tariffs, changes in international trade relationships and military conflicts could adversely affect our ongoing or planned research and development activities.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and the U.S. Supreme Court ruling in February 2026 invalidated a significant portion of the tariffs previously imposed by the U.S. government under emergency statutory authority, the Trump administration has indicated its intention to pursue alternative statutory mechanisms to reinstate or impose new tariffs. In addition, the Trump administration has threatened to continue to broadly impose tariffs, which could lead to corresponding punitive actions by the countries with which the U.S. trades. The applicability of, and lack of clarity around, trade tariffs imposed by the U.S. government and retaliatory tariffs imposed by other governments may have a significant impact on the financial condition of companies. We cannot predict the results of the U.S. government’s trade negotiations or the outcome of ongoing legal challenges to specific tariff policies.</w:t>
      </w:r>
    </w:p>
    <w:p>
      <w:pPr>
        <w:spacing w:after="0" w:line="17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Any such disruptions or concerns may impact a broad range of stakeholders, including our target patient populations, the hospitals and clinical sites in which we conduct any of our clinical trials, third parties with whom we engage, including our CROs, suppliers and regulators. Such impacts could materially negatively affect our ability to conduct our business in the manner or on the timelines presently planned by causing delays in the enrollment of our clinical trials, the manufacture and supply of our product candidates, the conduct of experiments and studies and other interruptions and potential limitations on the quality, completeness and interpretability of data we are able to collect.</w:t>
      </w:r>
    </w:p>
    <w:p>
      <w:pPr>
        <w:sectPr>
          <w:pgSz w:w="11880" w:h="15480" w:orient="portrait"/>
          <w:cols w:equalWidth="0" w:num="1">
            <w:col w:w="10180"/>
          </w:cols>
          <w:pgMar w:left="820" w:top="67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180"/>
          </w:cols>
          <w:pgMar w:left="820" w:top="678" w:right="880" w:bottom="0" w:gutter="0" w:footer="0" w:header="0"/>
          <w:type w:val="continuous"/>
        </w:sectPr>
      </w:pPr>
    </w:p>
    <w:bookmarkStart w:id="58" w:name="page59"/>
    <w:bookmarkEnd w:id="58"/>
    <w:p>
      <w:pPr>
        <w:spacing w:after="0" w:line="272" w:lineRule="auto"/>
        <w:rPr>
          <w:sz w:val="20"/>
          <w:szCs w:val="20"/>
          <w:color w:val="auto"/>
        </w:rPr>
      </w:pPr>
      <w:r>
        <w:rPr>
          <w:rFonts w:ascii="Arial" w:cs="Arial" w:eastAsia="Arial" w:hAnsi="Arial"/>
          <w:sz w:val="20"/>
          <w:szCs w:val="20"/>
          <w:color w:val="auto"/>
        </w:rPr>
        <w:t>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if the operations of our third-party manufacturers of drug substances and drug products in China were to be negatively affected, including as a result of the escalation of tariffs or other trade restrictions it could result in delays or disruptions in the supply of our product candidates and the conduct of our clinical studies. On December 18, 2025, the U.S. enacted the BIOSECURE Act, which prohibits U.S. federal agencies from entering into or renewing a contract with any company that uses biotechnology equipment or services produced or provided by a “biotechnology company of concern” in the performance of that contract. It also prohibits loans or grant funding from U.S. federal agencies to entities that use any biotechnology equipment or services produced or provided by a “biotechnology company of concern” in the performance of the government grant or loan. The BIOSECURE Act does not identify any specific companies as “biotechnology companies of concern” but treats any company on the Department of Defense 1260H list of “Chinese military companies” as a “biotechnology company of concern.” By December 18, 2026, the Director of the Office of Management (OMB), and Budget will publish a full list of “biotechnology companies of concern” based on recommendations from key federal Secretaries and Directors, including Defense, Justice, HHS, Commerce, National Intelligence, Homeland Security, State, and National Cyber. The Director of OMB will thereafter review and update that list at least annually, based on recommendations from those key federal Secretaries and Directors. Although there is a five-year safe harbor for existing contracts with companies later designated as “biotechnology companies of concern,” the safe harbor is unavailable for existing contracts with companies named on the 1260H list as of December 18, 2025. As a result of this legislation, we may not be able to engage a backup or alternative supplier or service provider in a timely manner or at all. This, in turn, could materially and adversely affect our or our collaborators’ ability to manufacture or supply product candidates or advance our clinical development programs, which could materially and adversely affect our business and future prospects. We continue to assess the impact of the legislation and its potential impacts on our contractual relationships.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Any negative impact to patient enrollment or treatment or the timing and execution of our clinical trials could cause costly delays to our development programs, which could adversely affect our ability to obtain regulatory approval for and to commercialize our product candidates, increase our operating expenses and have a material adverse effect on our business and financial results.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A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22"/>
          <w:szCs w:val="22"/>
          <w:color w:val="auto"/>
        </w:rPr>
        <w:t>Any of the foregoing could harm our business and we cannot anticipate all of the ways in which the current economic climate and financial market conditions could adversely impact our business.</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22"/>
          <w:szCs w:val="22"/>
          <w:b w:val="1"/>
          <w:bCs w:val="1"/>
          <w:i w:val="1"/>
          <w:iCs w:val="1"/>
          <w:color w:val="auto"/>
        </w:rPr>
        <w:t>We or third parties upon whom we depend may be adversely affected by natural disasters, global health pandemics, armed conflicts, trade restrictions, or other business interruptions, and our business, financial condition and results of operations could be adversely affected.</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200"/>
          </w:cols>
          <w:pgMar w:left="820" w:top="678" w:right="860" w:bottom="0" w:gutter="0" w:footer="0" w:header="0"/>
          <w:type w:val="continuous"/>
        </w:sectPr>
      </w:pPr>
    </w:p>
    <w:bookmarkStart w:id="59" w:name="page60"/>
    <w:bookmarkEnd w:id="59"/>
    <w:p>
      <w:pPr>
        <w:ind w:right="120"/>
        <w:spacing w:after="0" w:line="291" w:lineRule="auto"/>
        <w:rPr>
          <w:sz w:val="20"/>
          <w:szCs w:val="20"/>
          <w:color w:val="auto"/>
        </w:rPr>
      </w:pPr>
      <w:r>
        <w:rPr>
          <w:rFonts w:ascii="Arial" w:cs="Arial" w:eastAsia="Arial" w:hAnsi="Arial"/>
          <w:sz w:val="19"/>
          <w:szCs w:val="19"/>
          <w:color w:val="auto"/>
        </w:rPr>
        <w:t>The occurrence of unforeseen or catastrophic events, including extreme weather events and other natural disasters, man-made disasters, power shortages, telecommunications failures, or the emergence of epidemics or pandemics, depending on their scale, may cause different degrees of damage to the national and local economies and could cause a disruption in our operations, and those of our CROs, CMOs and other contractors and consultants, and have a material adverse effect on our financial condition and results of operations. Man-made disasters, pandemics, armed conflicts, trade restrictions, and other business disruptions or events connected with the regions in which we operate could have similar effects. If a natural disaster, health pandemic, or other event beyond our control occurred that prevented us from using all or a significant portion of our office and/or lab spaces, damaged critical infrastructure, such as our manufacturing facilities or our manufacturing facilities of our third-party CMOs, or that otherwise disrupted operations, it may be difficult for us to continue our business for a substantial period of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manufacturing and supply</w:t>
      </w:r>
    </w:p>
    <w:p>
      <w:pPr>
        <w:spacing w:after="0" w:line="231"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b w:val="1"/>
          <w:bCs w:val="1"/>
          <w:i w:val="1"/>
          <w:iCs w:val="1"/>
          <w:color w:val="auto"/>
        </w:rPr>
        <w:t>Manufacturing our product candidates is complex and we may encounter difficulties in production. We will rely on third parties to manufacture our preclinical and clinical product supplies, and we may rely on third parties to produce and process our product candidates, if approved. If we encounter such difficulties, our ability to provide supply of our product candidates for preclinical studies and clinical trials or for commercial purposes could be delayed or stopped.</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 process of manufacturing of our product candidates is complex and highly regulated. We do not currently own any facility that may be used as our clinical scale manufacturing facility and rely on outside vendors to manufacture supplies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Our contract manufacturers may incorporate their own proprietary processes into our product candidate manufacturing processes. We have limited control and oversight of a third party contract manufacturer’s proprietary process, and a third-party contract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182" w:lineRule="exact"/>
        <w:rPr>
          <w:sz w:val="20"/>
          <w:szCs w:val="20"/>
          <w:color w:val="auto"/>
        </w:rPr>
      </w:pPr>
    </w:p>
    <w:p>
      <w:pPr>
        <w:ind w:right="200"/>
        <w:spacing w:after="0" w:line="283" w:lineRule="auto"/>
        <w:rPr>
          <w:sz w:val="20"/>
          <w:szCs w:val="20"/>
          <w:color w:val="auto"/>
        </w:rPr>
      </w:pPr>
      <w:r>
        <w:rPr>
          <w:rFonts w:ascii="Arial" w:cs="Arial" w:eastAsia="Arial" w:hAnsi="Arial"/>
          <w:sz w:val="20"/>
          <w:szCs w:val="20"/>
          <w:color w:val="auto"/>
        </w:rPr>
        <w:t>As our product candidates progress through preclinical studies and clinical trials towards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product candidates and additional bridging studies or trials may be required.</w:t>
      </w:r>
    </w:p>
    <w:p>
      <w:pPr>
        <w:spacing w:after="0" w:line="17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facilities used by our contract manufacturers to manufacture our product candidates must be approved by the FDA or other foreign regulatory authorities following inspections that will be conducted after we submit an application to the FDA or other foreign regulatory authorities. We may not control the manufacturing process of, and may be completely dependent on, our contract manufacturing partners for compliance with cGMPs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significantly impact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240"/>
          </w:cols>
          <w:pgMar w:left="820" w:top="678" w:right="820" w:bottom="0" w:gutter="0" w:footer="0" w:header="0"/>
          <w:type w:val="continuous"/>
        </w:sectPr>
      </w:pPr>
    </w:p>
    <w:bookmarkStart w:id="60" w:name="page61"/>
    <w:bookmarkEnd w:id="60"/>
    <w:p>
      <w:pPr>
        <w:spacing w:after="0" w:line="273" w:lineRule="auto"/>
        <w:rPr>
          <w:sz w:val="20"/>
          <w:szCs w:val="20"/>
          <w:color w:val="auto"/>
        </w:rPr>
      </w:pPr>
      <w:r>
        <w:rPr>
          <w:rFonts w:ascii="Arial" w:cs="Arial" w:eastAsia="Arial" w:hAnsi="Arial"/>
          <w:sz w:val="20"/>
          <w:szCs w:val="20"/>
          <w:color w:val="auto"/>
        </w:rPr>
        <w:t>If any contract manufacturer with whom we contract fails to perform its obligations, we may be forced to manufacture the materials ourselves, for which we may not have the capabilities or resources, or enter into an agreement with a different contract manufacturer,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contract manufacturer could negatively affect our ability to develop product candidates or commercialize our products in a timely manner or within budget.</w:t>
      </w:r>
    </w:p>
    <w:p>
      <w:pPr>
        <w:spacing w:after="0" w:line="192" w:lineRule="exact"/>
        <w:rPr>
          <w:sz w:val="20"/>
          <w:szCs w:val="20"/>
          <w:color w:val="auto"/>
        </w:rPr>
      </w:pPr>
    </w:p>
    <w:p>
      <w:pPr>
        <w:ind w:right="420"/>
        <w:spacing w:after="0" w:line="287" w:lineRule="auto"/>
        <w:rPr>
          <w:sz w:val="20"/>
          <w:szCs w:val="20"/>
          <w:color w:val="auto"/>
        </w:rPr>
      </w:pPr>
      <w:r>
        <w:rPr>
          <w:rFonts w:ascii="Arial" w:cs="Arial" w:eastAsia="Arial" w:hAnsi="Arial"/>
          <w:sz w:val="20"/>
          <w:szCs w:val="20"/>
          <w:color w:val="auto"/>
        </w:rPr>
        <w:t>Legislative proposals are pending that, if enacted, could negatively impact U.S. funding for certain biotechnology providers having relationships with foreign adversaries or which pose a threat to national security. The potential downstream adverse impacts on entities having only commercial relationships with any impacted biotechnology providers is unknown but may include supply chain disruptions or delays.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sales, marketing and competition</w:t>
      </w:r>
    </w:p>
    <w:p>
      <w:pPr>
        <w:spacing w:after="0" w:line="231" w:lineRule="exact"/>
        <w:rPr>
          <w:sz w:val="20"/>
          <w:szCs w:val="20"/>
          <w:color w:val="auto"/>
        </w:rPr>
      </w:pPr>
    </w:p>
    <w:p>
      <w:pPr>
        <w:jc w:val="both"/>
        <w:ind w:right="220"/>
        <w:spacing w:after="0" w:line="299" w:lineRule="auto"/>
        <w:rPr>
          <w:sz w:val="20"/>
          <w:szCs w:val="20"/>
          <w:color w:val="auto"/>
        </w:rPr>
      </w:pPr>
      <w:r>
        <w:rPr>
          <w:rFonts w:ascii="Arial" w:cs="Arial" w:eastAsia="Arial" w:hAnsi="Arial"/>
          <w:sz w:val="20"/>
          <w:szCs w:val="20"/>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61"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3" w:lineRule="exact"/>
        <w:rPr>
          <w:sz w:val="20"/>
          <w:szCs w:val="20"/>
          <w:color w:val="auto"/>
        </w:rPr>
      </w:pPr>
    </w:p>
    <w:p>
      <w:pPr>
        <w:jc w:val="both"/>
        <w:ind w:right="260"/>
        <w:spacing w:after="0" w:line="351" w:lineRule="auto"/>
        <w:rPr>
          <w:sz w:val="20"/>
          <w:szCs w:val="20"/>
          <w:color w:val="auto"/>
        </w:rPr>
      </w:pPr>
      <w:r>
        <w:rPr>
          <w:rFonts w:ascii="Arial" w:cs="Arial" w:eastAsia="Arial" w:hAnsi="Arial"/>
          <w:sz w:val="19"/>
          <w:szCs w:val="19"/>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04" w:lineRule="exact"/>
        <w:rPr>
          <w:sz w:val="20"/>
          <w:szCs w:val="20"/>
          <w:color w:val="auto"/>
        </w:rPr>
      </w:pPr>
    </w:p>
    <w:p>
      <w:pPr>
        <w:ind w:right="520"/>
        <w:spacing w:after="0" w:line="276" w:lineRule="auto"/>
        <w:rPr>
          <w:sz w:val="20"/>
          <w:szCs w:val="20"/>
          <w:color w:val="auto"/>
        </w:rPr>
      </w:pPr>
      <w:r>
        <w:rPr>
          <w:rFonts w:ascii="Arial" w:cs="Arial" w:eastAsia="Arial" w:hAnsi="Arial"/>
          <w:sz w:val="22"/>
          <w:szCs w:val="22"/>
          <w:b w:val="1"/>
          <w:bCs w:val="1"/>
          <w:i w:val="1"/>
          <w:iCs w:val="1"/>
          <w:color w:val="auto"/>
        </w:rPr>
        <w:t>A variety of risks associated with marketing our product candidates internationally could materially adversely affect our business.</w:t>
      </w:r>
    </w:p>
    <w:p>
      <w:pPr>
        <w:spacing w:after="0" w:line="180" w:lineRule="exact"/>
        <w:rPr>
          <w:sz w:val="20"/>
          <w:szCs w:val="20"/>
          <w:color w:val="auto"/>
        </w:rPr>
      </w:pPr>
    </w:p>
    <w:p>
      <w:pPr>
        <w:ind w:right="320"/>
        <w:spacing w:after="0" w:line="258" w:lineRule="auto"/>
        <w:rPr>
          <w:sz w:val="20"/>
          <w:szCs w:val="20"/>
          <w:color w:val="auto"/>
        </w:rPr>
      </w:pPr>
      <w:r>
        <w:rPr>
          <w:rFonts w:ascii="Arial" w:cs="Arial" w:eastAsia="Arial" w:hAnsi="Arial"/>
          <w:sz w:val="22"/>
          <w:szCs w:val="22"/>
          <w:color w:val="auto"/>
        </w:rPr>
        <w:t>We plan to seek regulatory approval of our product candidates outside of the United States and, accordingly, we expect that we will be subject to additional risks related to operating in foreign countries if we obtain the necessary approvals, including:</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240"/>
          </w:cols>
          <w:pgMar w:left="820" w:top="678" w:right="820" w:bottom="0" w:gutter="0" w:footer="0" w:header="0"/>
          <w:type w:val="continuous"/>
        </w:sectPr>
      </w:pPr>
    </w:p>
    <w:bookmarkStart w:id="61" w:name="page62"/>
    <w:bookmarkEnd w:id="61"/>
    <w:p>
      <w:pPr>
        <w:ind w:left="720" w:right="260" w:hanging="363"/>
        <w:spacing w:after="0" w:line="287"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differing regulatory requirements in foreign countries, for example, many jurisdictions outside the United States do not have a pathway for accelerated drug approval (or an accelerated pathway is only available for limited categories of product candidates) and so obtaining regulatory approvals outside of the United States will take longer and be more costly than obtaining approval in the United States;</w:t>
      </w:r>
    </w:p>
    <w:p>
      <w:pPr>
        <w:spacing w:after="0" w:line="52" w:lineRule="exact"/>
        <w:rPr>
          <w:rFonts w:ascii="Arial" w:cs="Arial" w:eastAsia="Arial" w:hAnsi="Arial"/>
          <w:sz w:val="20"/>
          <w:szCs w:val="20"/>
          <w:color w:val="auto"/>
        </w:rPr>
      </w:pPr>
    </w:p>
    <w:p>
      <w:pPr>
        <w:ind w:left="720" w:hanging="363"/>
        <w:spacing w:after="0"/>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unexpected changes in tariffs, trade barriers, price and exchange controls and other regulatory requirements;</w:t>
      </w:r>
    </w:p>
    <w:p>
      <w:pPr>
        <w:spacing w:after="0" w:line="157" w:lineRule="exact"/>
        <w:rPr>
          <w:rFonts w:ascii="Arial" w:cs="Arial" w:eastAsia="Arial" w:hAnsi="Arial"/>
          <w:sz w:val="19"/>
          <w:szCs w:val="19"/>
          <w:color w:val="auto"/>
        </w:rPr>
      </w:pPr>
    </w:p>
    <w:p>
      <w:pPr>
        <w:ind w:left="720" w:hanging="363"/>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economic weakness, including inflation, or political instability in particular foreign economies and markets;</w:t>
      </w:r>
    </w:p>
    <w:p>
      <w:pPr>
        <w:spacing w:after="0" w:line="146" w:lineRule="exact"/>
        <w:rPr>
          <w:rFonts w:ascii="Arial" w:cs="Arial" w:eastAsia="Arial" w:hAnsi="Arial"/>
          <w:sz w:val="20"/>
          <w:szCs w:val="20"/>
          <w:color w:val="auto"/>
        </w:rPr>
      </w:pPr>
    </w:p>
    <w:p>
      <w:pPr>
        <w:ind w:left="720" w:hanging="363"/>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compliance with tax, employment, immigration and labor laws for employees living or traveling abroad;</w:t>
      </w:r>
    </w:p>
    <w:p>
      <w:pPr>
        <w:spacing w:after="0" w:line="146" w:lineRule="exact"/>
        <w:rPr>
          <w:rFonts w:ascii="Arial" w:cs="Arial" w:eastAsia="Arial" w:hAnsi="Arial"/>
          <w:sz w:val="20"/>
          <w:szCs w:val="20"/>
          <w:color w:val="auto"/>
        </w:rPr>
      </w:pPr>
    </w:p>
    <w:p>
      <w:pPr>
        <w:ind w:left="720" w:hanging="363"/>
        <w:spacing w:after="0"/>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foreign taxes, including withholding of payroll taxes;</w:t>
      </w:r>
    </w:p>
    <w:p>
      <w:pPr>
        <w:spacing w:after="0" w:line="123" w:lineRule="exact"/>
        <w:rPr>
          <w:rFonts w:ascii="Arial" w:cs="Arial" w:eastAsia="Arial" w:hAnsi="Arial"/>
          <w:sz w:val="22"/>
          <w:szCs w:val="22"/>
          <w:color w:val="auto"/>
        </w:rPr>
      </w:pPr>
    </w:p>
    <w:p>
      <w:pPr>
        <w:ind w:left="720" w:right="280" w:hanging="363"/>
        <w:spacing w:after="0" w:line="271" w:lineRule="auto"/>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foreign currency fluctuations, which could result in increased operating expenses and reduced revenue, and other obligations incident to doing business in another country;</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difficulties staffing and managing foreign operations;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workforce uncertainty in countries where labor unrest is more common than in the United States;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potential liability under the Foreign Corrupt Practices Act of 1977 or comparable foreign regulations;</w:t>
      </w:r>
    </w:p>
    <w:p>
      <w:pPr>
        <w:spacing w:after="0" w:line="146" w:lineRule="exact"/>
        <w:rPr>
          <w:rFonts w:ascii="Arial" w:cs="Arial" w:eastAsia="Arial" w:hAnsi="Arial"/>
          <w:sz w:val="20"/>
          <w:szCs w:val="20"/>
          <w:color w:val="auto"/>
        </w:rPr>
      </w:pPr>
    </w:p>
    <w:p>
      <w:pPr>
        <w:ind w:left="720" w:right="80" w:hanging="363"/>
        <w:spacing w:after="0" w:line="322"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17" w:lineRule="exact"/>
        <w:rPr>
          <w:rFonts w:ascii="Arial" w:cs="Arial" w:eastAsia="Arial" w:hAnsi="Arial"/>
          <w:sz w:val="20"/>
          <w:szCs w:val="20"/>
          <w:color w:val="auto"/>
        </w:rPr>
      </w:pPr>
    </w:p>
    <w:p>
      <w:pPr>
        <w:ind w:left="720" w:right="300" w:hanging="363"/>
        <w:spacing w:after="0" w:line="271" w:lineRule="auto"/>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production shortages resulting from any events affecting raw material supply or manufacturing capabilities abroad; and</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business interruptions resulting from geopolitical actions, including war and terrorism.</w:t>
      </w:r>
    </w:p>
    <w:p>
      <w:pPr>
        <w:spacing w:after="0" w:line="241" w:lineRule="exact"/>
        <w:rPr>
          <w:sz w:val="20"/>
          <w:szCs w:val="20"/>
          <w:color w:val="auto"/>
        </w:rPr>
      </w:pPr>
    </w:p>
    <w:p>
      <w:pPr>
        <w:ind w:right="220"/>
        <w:spacing w:after="0" w:line="271" w:lineRule="auto"/>
        <w:rPr>
          <w:sz w:val="20"/>
          <w:szCs w:val="20"/>
          <w:color w:val="auto"/>
        </w:rPr>
      </w:pPr>
      <w:r>
        <w:rPr>
          <w:rFonts w:ascii="Arial" w:cs="Arial" w:eastAsia="Arial" w:hAnsi="Arial"/>
          <w:sz w:val="22"/>
          <w:szCs w:val="22"/>
          <w:color w:val="auto"/>
        </w:rPr>
        <w:t>These and other risks associated with international operations may materially adversely affect our ability to attain or maintain profitable operations.</w:t>
      </w:r>
    </w:p>
    <w:p>
      <w:pPr>
        <w:spacing w:after="0" w:line="172" w:lineRule="exact"/>
        <w:rPr>
          <w:sz w:val="20"/>
          <w:szCs w:val="20"/>
          <w:color w:val="auto"/>
        </w:rPr>
      </w:pPr>
    </w:p>
    <w:p>
      <w:pPr>
        <w:ind w:right="200"/>
        <w:spacing w:after="0" w:line="261" w:lineRule="auto"/>
        <w:rPr>
          <w:sz w:val="20"/>
          <w:szCs w:val="20"/>
          <w:color w:val="auto"/>
        </w:rPr>
      </w:pPr>
      <w:r>
        <w:rPr>
          <w:rFonts w:ascii="Arial" w:cs="Arial" w:eastAsia="Arial" w:hAnsi="Arial"/>
          <w:sz w:val="22"/>
          <w:szCs w:val="22"/>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96"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w:t>
      </w:r>
    </w:p>
    <w:p>
      <w:pPr>
        <w:spacing w:after="0" w:line="168" w:lineRule="exact"/>
        <w:rPr>
          <w:sz w:val="20"/>
          <w:szCs w:val="20"/>
          <w:color w:val="auto"/>
        </w:rPr>
      </w:pPr>
    </w:p>
    <w:p>
      <w:pPr>
        <w:ind w:right="400"/>
        <w:spacing w:after="0" w:line="391"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88" w:lineRule="exact"/>
        <w:rPr>
          <w:sz w:val="20"/>
          <w:szCs w:val="20"/>
          <w:color w:val="auto"/>
        </w:rPr>
      </w:pPr>
    </w:p>
    <w:p>
      <w:pPr>
        <w:ind w:right="220"/>
        <w:spacing w:after="0" w:line="296" w:lineRule="auto"/>
        <w:rPr>
          <w:sz w:val="20"/>
          <w:szCs w:val="20"/>
          <w:color w:val="auto"/>
        </w:rPr>
      </w:pPr>
      <w:r>
        <w:rPr>
          <w:rFonts w:ascii="Arial" w:cs="Arial" w:eastAsia="Arial" w:hAnsi="Arial"/>
          <w:sz w:val="20"/>
          <w:szCs w:val="20"/>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43" w:lineRule="exact"/>
        <w:rPr>
          <w:sz w:val="20"/>
          <w:szCs w:val="20"/>
          <w:color w:val="auto"/>
        </w:rPr>
      </w:pPr>
    </w:p>
    <w:p>
      <w:pPr>
        <w:ind w:left="720" w:hanging="363"/>
        <w:spacing w:after="0"/>
        <w:tabs>
          <w:tab w:leader="none" w:pos="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clinical indications for which our product candidates are licensed;</w:t>
      </w:r>
    </w:p>
    <w:p>
      <w:pPr>
        <w:spacing w:after="0" w:line="123" w:lineRule="exact"/>
        <w:rPr>
          <w:rFonts w:ascii="Arial" w:cs="Arial" w:eastAsia="Arial" w:hAnsi="Arial"/>
          <w:sz w:val="22"/>
          <w:szCs w:val="22"/>
          <w:color w:val="auto"/>
        </w:rPr>
      </w:pPr>
    </w:p>
    <w:p>
      <w:pPr>
        <w:ind w:left="720" w:right="220" w:hanging="363"/>
        <w:spacing w:after="0" w:line="271" w:lineRule="auto"/>
        <w:tabs>
          <w:tab w:leader="none" w:pos="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physicians, hospitals, cancer treatment centers and patients considering our product candidates as a safe and effective treatment;</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potential and perceived advantages of our product candidates over alternative treatments;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our ability to demonstrate the advantages of our product candidates over other cancer medicines;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prevalence and severity of any side effects;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240"/>
          </w:cols>
          <w:pgMar w:left="820" w:top="678" w:right="820" w:bottom="0" w:gutter="0" w:footer="0" w:header="0"/>
          <w:type w:val="continuous"/>
        </w:sectPr>
      </w:pPr>
    </w:p>
    <w:bookmarkStart w:id="62" w:name="page63"/>
    <w:bookmarkEnd w:id="62"/>
    <w:p>
      <w:pPr>
        <w:ind w:left="720" w:right="280" w:hanging="363"/>
        <w:spacing w:after="0" w:line="271" w:lineRule="auto"/>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prevalence and severity of any side effects for other precision medicines and public perception of other precision medicines;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product labeling or product insert requirements of the FDA or other regulatory authorities;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limitations or warnings contained in the labeling approved by the FDA;</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timing of market introduction of our product candidates as well as competitive products;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cost of treatment in relation to alternative treatments;</w:t>
      </w:r>
    </w:p>
    <w:p>
      <w:pPr>
        <w:spacing w:after="0" w:line="123" w:lineRule="exact"/>
        <w:rPr>
          <w:rFonts w:ascii="Arial" w:cs="Arial" w:eastAsia="Arial" w:hAnsi="Arial"/>
          <w:sz w:val="22"/>
          <w:szCs w:val="22"/>
          <w:color w:val="auto"/>
        </w:rPr>
      </w:pPr>
    </w:p>
    <w:p>
      <w:pPr>
        <w:ind w:left="720" w:right="560" w:hanging="363"/>
        <w:spacing w:after="0" w:line="271" w:lineRule="auto"/>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availability of adequate coverage, reimbursement and pricing by third-party payors and government authorities;</w:t>
      </w:r>
    </w:p>
    <w:p>
      <w:pPr>
        <w:spacing w:after="0" w:line="63" w:lineRule="exact"/>
        <w:rPr>
          <w:rFonts w:ascii="Arial" w:cs="Arial" w:eastAsia="Arial" w:hAnsi="Arial"/>
          <w:sz w:val="22"/>
          <w:szCs w:val="22"/>
          <w:color w:val="auto"/>
        </w:rPr>
      </w:pPr>
    </w:p>
    <w:p>
      <w:pPr>
        <w:ind w:left="720" w:right="840" w:hanging="363"/>
        <w:spacing w:after="0" w:line="271" w:lineRule="auto"/>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willingness of patients to pay out-of-pocket in the absence of coverage by third-party payors and government authorities;</w:t>
      </w:r>
    </w:p>
    <w:p>
      <w:pPr>
        <w:spacing w:after="0" w:line="63" w:lineRule="exact"/>
        <w:rPr>
          <w:rFonts w:ascii="Arial" w:cs="Arial" w:eastAsia="Arial" w:hAnsi="Arial"/>
          <w:sz w:val="22"/>
          <w:szCs w:val="22"/>
          <w:color w:val="auto"/>
        </w:rPr>
      </w:pPr>
    </w:p>
    <w:p>
      <w:pPr>
        <w:ind w:left="720" w:right="820" w:hanging="363"/>
        <w:spacing w:after="0" w:line="271" w:lineRule="auto"/>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relative convenience and ease of administration, including as compared to alternative treatments and competitive therapies; and</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effectiveness of our sales and marketing efforts.</w:t>
      </w:r>
    </w:p>
    <w:p>
      <w:pPr>
        <w:spacing w:after="0" w:line="241" w:lineRule="exact"/>
        <w:rPr>
          <w:sz w:val="20"/>
          <w:szCs w:val="20"/>
          <w:color w:val="auto"/>
        </w:rPr>
      </w:pPr>
    </w:p>
    <w:p>
      <w:pPr>
        <w:ind w:right="380"/>
        <w:spacing w:after="0" w:line="351" w:lineRule="auto"/>
        <w:rPr>
          <w:sz w:val="20"/>
          <w:szCs w:val="20"/>
          <w:color w:val="auto"/>
        </w:rPr>
      </w:pPr>
      <w:r>
        <w:rPr>
          <w:rFonts w:ascii="Arial" w:cs="Arial" w:eastAsia="Arial" w:hAnsi="Arial"/>
          <w:sz w:val="19"/>
          <w:szCs w:val="19"/>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1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206" w:lineRule="exact"/>
        <w:rPr>
          <w:sz w:val="20"/>
          <w:szCs w:val="20"/>
          <w:color w:val="auto"/>
        </w:rPr>
      </w:pPr>
    </w:p>
    <w:p>
      <w:pPr>
        <w:ind w:right="160"/>
        <w:spacing w:after="0" w:line="258" w:lineRule="auto"/>
        <w:rPr>
          <w:sz w:val="20"/>
          <w:szCs w:val="20"/>
          <w:color w:val="auto"/>
        </w:rPr>
      </w:pPr>
      <w:r>
        <w:rPr>
          <w:rFonts w:ascii="Arial" w:cs="Arial" w:eastAsia="Arial" w:hAnsi="Arial"/>
          <w:sz w:val="22"/>
          <w:szCs w:val="22"/>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86"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b w:val="1"/>
          <w:bCs w:val="1"/>
          <w:i w:val="1"/>
          <w:iCs w:val="1"/>
          <w:color w:val="auto"/>
        </w:rPr>
        <w:t>We face substantial competition, which may result in others discovering, developing or commercializing products before or more successfully than we do.</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and public and private research institutes that conduct research, development, manufacturing and commercialization. Many of our competitors have significantly greater financial resources and expertise in research and development, manufacturing, preclinical testing, regulatory approvals and product marketing than we do. Our competitors may compete with us in recruiting and retaining qualified scientific and management personnel and establishing clinical trial sites and patient registration for clinical trials, as well as in acquiring technologies complementary to, or necessary for, our programs. As a result, our competitors may discover, develop, license or commercialize products before or more successfully than we do.</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200"/>
          </w:cols>
          <w:pgMar w:left="820" w:top="678" w:right="860" w:bottom="0" w:gutter="0" w:footer="0" w:header="0"/>
          <w:type w:val="continuous"/>
        </w:sectPr>
      </w:pPr>
    </w:p>
    <w:bookmarkStart w:id="63" w:name="page64"/>
    <w:bookmarkEnd w:id="63"/>
    <w:p>
      <w:pPr>
        <w:ind w:right="60"/>
        <w:spacing w:after="0" w:line="273" w:lineRule="auto"/>
        <w:rPr>
          <w:sz w:val="20"/>
          <w:szCs w:val="20"/>
          <w:color w:val="auto"/>
        </w:rPr>
      </w:pPr>
      <w:r>
        <w:rPr>
          <w:rFonts w:ascii="Arial" w:cs="Arial" w:eastAsia="Arial" w:hAnsi="Arial"/>
          <w:sz w:val="20"/>
          <w:szCs w:val="20"/>
          <w:color w:val="auto"/>
        </w:rPr>
        <w:t>Product candidates that we successfully develop and commercialize will compete with existing therapies and new therapies that may become available in the future. Specifically for silevertinib, we expect competition primarily in the EGFRm NSCLC and GBM patient populations, including: combination of amivantamab, or Rybrevant®, and lazertinib or Lazcluze, which is marketed by Janssen Biotech, Inc.; patritumab deruxtecan, which is being developed by Merck &amp; Co., Inc. and Daiichi Sankyo Co.; datopotamab deruxtecan, which is developed by AstraZeneca plc and Daiichi Sankyo Co.; ivonescimab, which is under development by Summit Therapeutics and Akeso; TAS3351, which is being developed by Taiho Oncology; BBT-207, which is being developed by Bridge Biotherapeutics, Inc.; JIN-A02, which is under development by J Ints Bio, afatinib, or Gilotrif® (Boehringer Ingelheim International GmbH) and approved as first-line treatment of NSCLC patients with S768I, L861Q, and/or G719X mutations; osimertinib, or Tagrisso® (AstraZeneca plc) which may be prescribed off-label for NSCLC patients with exon 18 mutations; firmonertinib, which is under development by ArriVent Biopharma, Inc. and Shanghai Allist Pharmaceuticals Co., Ltd.; ORIC-114 which is being developed by ORIC Pharmaceuticals, Inc.; zipalertinib, which is under development by Taiho Oncology, Inc. and Cullinan Therapeutics, Inc.; BH-30643, which is under development by BlossomHill Therapeutics, Inc.; WSD-0922-FU, which is under development by Wayshine Biopharm International Ltd.; and TAS-2940, which is under development by Taiho Oncology, Inc.</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color w:val="auto"/>
        </w:rPr>
        <w:t>If our drug candidates, including silevertinib, are approved for the indications for which we are currently conducting or planning clinical trials, they will likely compete with the competitor drugs mentioned above and with other drugs that are currently in development.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“Business—Competition.”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position and capital requirements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past financial condition</w:t>
      </w:r>
    </w:p>
    <w:p>
      <w:pPr>
        <w:spacing w:after="0" w:line="231" w:lineRule="exact"/>
        <w:rPr>
          <w:sz w:val="20"/>
          <w:szCs w:val="20"/>
          <w:color w:val="auto"/>
        </w:rPr>
      </w:pPr>
    </w:p>
    <w:p>
      <w:pPr>
        <w:ind w:right="320"/>
        <w:spacing w:after="0" w:line="276" w:lineRule="auto"/>
        <w:rPr>
          <w:sz w:val="20"/>
          <w:szCs w:val="20"/>
          <w:color w:val="auto"/>
        </w:rPr>
      </w:pPr>
      <w:r>
        <w:rPr>
          <w:rFonts w:ascii="Arial" w:cs="Arial" w:eastAsia="Arial" w:hAnsi="Arial"/>
          <w:sz w:val="22"/>
          <w:szCs w:val="22"/>
          <w:b w:val="1"/>
          <w:bCs w:val="1"/>
          <w:i w:val="1"/>
          <w:iCs w:val="1"/>
          <w:color w:val="auto"/>
        </w:rPr>
        <w:t>Our limited operating history may make it difficult for you to evaluate the success of our business to date and to assess our future viability.</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We are a biotechnology company with a limited operating history. We commenced operations in December 2014,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and component materials. Most of our product candidates are still in early clinical or preclinical development. We have not yet demonstrated our ability to successfully conduct or complete any clinical trials, obtain marketing approvals, manufacture a commercial-scale product or arrange for a third-party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7" w:lineRule="exact"/>
        <w:rPr>
          <w:sz w:val="20"/>
          <w:szCs w:val="20"/>
          <w:color w:val="auto"/>
        </w:rPr>
      </w:pPr>
    </w:p>
    <w:p>
      <w:pPr>
        <w:ind w:right="200"/>
        <w:spacing w:after="0" w:line="254" w:lineRule="auto"/>
        <w:rPr>
          <w:sz w:val="20"/>
          <w:szCs w:val="20"/>
          <w:color w:val="auto"/>
        </w:rPr>
      </w:pPr>
      <w:r>
        <w:rPr>
          <w:rFonts w:ascii="Arial" w:cs="Arial" w:eastAsia="Arial" w:hAnsi="Arial"/>
          <w:sz w:val="22"/>
          <w:szCs w:val="22"/>
          <w:color w:val="auto"/>
        </w:rPr>
        <w:t>In addition, as an early clinical-stage company, we may encounter unforeseen expenses, difficulties, complications, delays and other known and unknown factors. As we advance our product candidate, we will need to transition at some point from a company with a research and development focus to a company capable of supporting commercial activities. We may not be successful in such a transition.</w:t>
      </w:r>
    </w:p>
    <w:p>
      <w:pPr>
        <w:spacing w:after="0" w:line="190" w:lineRule="exact"/>
        <w:rPr>
          <w:sz w:val="20"/>
          <w:szCs w:val="20"/>
          <w:color w:val="auto"/>
        </w:rPr>
      </w:pPr>
    </w:p>
    <w:p>
      <w:pPr>
        <w:ind w:right="220"/>
        <w:spacing w:after="0" w:line="328" w:lineRule="auto"/>
        <w:rPr>
          <w:sz w:val="20"/>
          <w:szCs w:val="20"/>
          <w:color w:val="auto"/>
        </w:rPr>
      </w:pPr>
      <w:r>
        <w:rPr>
          <w:rFonts w:ascii="Arial" w:cs="Arial" w:eastAsia="Arial" w:hAnsi="Arial"/>
          <w:sz w:val="20"/>
          <w:szCs w:val="20"/>
          <w:b w:val="1"/>
          <w:bCs w:val="1"/>
          <w:i w:val="1"/>
          <w:iCs w:val="1"/>
          <w:color w:val="auto"/>
        </w:rPr>
        <w:t>We have incurred significant losses since inception, and we expect to incur losses over the next several years and may not be able to achieve or sustain revenues or profitability in the future.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240"/>
          </w:cols>
          <w:pgMar w:left="820" w:top="678" w:right="820" w:bottom="0" w:gutter="0" w:footer="0" w:header="0"/>
          <w:type w:val="continuous"/>
        </w:sectPr>
      </w:pPr>
    </w:p>
    <w:bookmarkStart w:id="64" w:name="page65"/>
    <w:bookmarkEnd w:id="64"/>
    <w:p>
      <w:pPr>
        <w:ind w:right="40"/>
        <w:spacing w:after="0" w:line="278" w:lineRule="auto"/>
        <w:rPr>
          <w:sz w:val="20"/>
          <w:szCs w:val="20"/>
          <w:color w:val="auto"/>
        </w:rPr>
      </w:pPr>
      <w:r>
        <w:rPr>
          <w:rFonts w:ascii="Arial" w:cs="Arial" w:eastAsia="Arial" w:hAnsi="Arial"/>
          <w:sz w:val="20"/>
          <w:szCs w:val="20"/>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Our most advanced product candidate, silevertinib, is currently only in a Phase 2 clinical trial. We have no products approved for commercial sale and have not generated any revenue from product sales to date, and we continue to incur significant research and development and other expenses related to our ongoing operations.</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auto"/>
        </w:rPr>
        <w:t>We have incurred significant net losses since we commenced operations in December 2014. For the years ended December 31, 2025 and 2024, we reported net income of $22.4 million and net loss of $69.7 million, respectively. As of December 31, 2025, we had an accumulated deficit of $464.7 million. We expect to continue to incur significant losses for the foreseeable future, and we expect these losses to increase substantially if and as we:</w:t>
      </w:r>
    </w:p>
    <w:p>
      <w:pPr>
        <w:spacing w:after="0" w:line="52" w:lineRule="exact"/>
        <w:rPr>
          <w:sz w:val="20"/>
          <w:szCs w:val="20"/>
          <w:color w:val="auto"/>
        </w:rPr>
      </w:pPr>
    </w:p>
    <w:p>
      <w:pPr>
        <w:ind w:left="720" w:right="620" w:hanging="363"/>
        <w:spacing w:after="0" w:line="271" w:lineRule="auto"/>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conduct preclinical studies and clinical trials for our current and future product candidates based on our Mutation—Allostery—Pharmacology, or MAP, drug discovery engine;</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seek marketing approvals for any product candidates that successfully complete clinical trials;</w:t>
      </w:r>
    </w:p>
    <w:p>
      <w:pPr>
        <w:spacing w:after="0" w:line="123" w:lineRule="exact"/>
        <w:rPr>
          <w:rFonts w:ascii="Arial" w:cs="Arial" w:eastAsia="Arial" w:hAnsi="Arial"/>
          <w:sz w:val="22"/>
          <w:szCs w:val="22"/>
          <w:color w:val="auto"/>
        </w:rPr>
      </w:pPr>
    </w:p>
    <w:p>
      <w:pPr>
        <w:ind w:left="720" w:right="620" w:hanging="363"/>
        <w:spacing w:after="0" w:line="271" w:lineRule="auto"/>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experience any delays or encounter any issues with any of the above, including but not limited to failed studies, complex results, safety issues or other regulatory challenges;</w:t>
      </w:r>
    </w:p>
    <w:p>
      <w:pPr>
        <w:spacing w:after="0" w:line="63" w:lineRule="exact"/>
        <w:rPr>
          <w:rFonts w:ascii="Arial" w:cs="Arial" w:eastAsia="Arial" w:hAnsi="Arial"/>
          <w:sz w:val="22"/>
          <w:szCs w:val="22"/>
          <w:color w:val="auto"/>
        </w:rPr>
      </w:pPr>
    </w:p>
    <w:p>
      <w:pPr>
        <w:ind w:left="720" w:right="260" w:hanging="363"/>
        <w:spacing w:after="0" w:line="258" w:lineRule="auto"/>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77" w:lineRule="exact"/>
        <w:rPr>
          <w:rFonts w:ascii="Arial" w:cs="Arial" w:eastAsia="Arial" w:hAnsi="Arial"/>
          <w:sz w:val="22"/>
          <w:szCs w:val="22"/>
          <w:color w:val="auto"/>
        </w:rPr>
      </w:pPr>
    </w:p>
    <w:p>
      <w:pPr>
        <w:ind w:left="720" w:hanging="363"/>
        <w:spacing w:after="0"/>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obtain, expand, maintain, enforce and protect our intellectual property portfolio;</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hire additional clinical, regulatory and other scientific personnel; and</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operate as a public company.</w:t>
      </w:r>
    </w:p>
    <w:p>
      <w:pPr>
        <w:spacing w:after="0" w:line="241"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have not generated any revenue from our product candidates and may never be profitable.</w:t>
      </w:r>
    </w:p>
    <w:p>
      <w:pPr>
        <w:spacing w:after="0" w:line="250"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Our ability to become profitable depends upon our ability to generate revenue. To date, we have not generated any revenue from any of our product candidates. We do not expect to generate significant revenue unless or until we successfully complete clinical development and obtain regulatory approval of, and then successfully commercialize, at least one of our product candidates. Most of our product candidates are in early clinical or preclinical stages of development and will require additional preclinical studies, clinical development, regulatory review and approval, substantial investment, access to sufficient commercial manufacturing capacity and significant marketing efforts before we can generate any revenue from product sales. Our most advanced product candidate, silevertinib, is currently only in a Phase 2 clinical trial. Our ability to generate revenue depends on a number of factors, including, but not limited to:</w:t>
      </w:r>
    </w:p>
    <w:p>
      <w:pPr>
        <w:spacing w:after="0" w:line="66" w:lineRule="exact"/>
        <w:rPr>
          <w:sz w:val="20"/>
          <w:szCs w:val="20"/>
          <w:color w:val="auto"/>
        </w:rPr>
      </w:pPr>
    </w:p>
    <w:p>
      <w:pPr>
        <w:ind w:left="360" w:right="360" w:hanging="356"/>
        <w:spacing w:after="0" w:line="322" w:lineRule="auto"/>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17" w:lineRule="exact"/>
        <w:rPr>
          <w:rFonts w:ascii="Arial" w:cs="Arial" w:eastAsia="Arial" w:hAnsi="Arial"/>
          <w:sz w:val="20"/>
          <w:szCs w:val="20"/>
          <w:color w:val="auto"/>
        </w:rPr>
      </w:pPr>
    </w:p>
    <w:p>
      <w:pPr>
        <w:ind w:left="360" w:right="60" w:hanging="356"/>
        <w:spacing w:after="0" w:line="258" w:lineRule="auto"/>
        <w:tabs>
          <w:tab w:leader="none" w:pos="3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240"/>
          </w:cols>
          <w:pgMar w:left="820" w:top="678" w:right="820" w:bottom="0" w:gutter="0" w:footer="0" w:header="0"/>
          <w:type w:val="continuous"/>
        </w:sectPr>
      </w:pPr>
    </w:p>
    <w:bookmarkStart w:id="65" w:name="page66"/>
    <w:bookmarkEnd w:id="65"/>
    <w:p>
      <w:pPr>
        <w:ind w:left="360" w:right="280" w:hanging="356"/>
        <w:spacing w:after="0" w:line="287"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clinical development strategy (i.e., our pursuit of approval based on a biomarker rather than a specific cancer indication);</w:t>
      </w:r>
    </w:p>
    <w:p>
      <w:pPr>
        <w:spacing w:after="0" w:line="52" w:lineRule="exact"/>
        <w:rPr>
          <w:rFonts w:ascii="Arial" w:cs="Arial" w:eastAsia="Arial" w:hAnsi="Arial"/>
          <w:sz w:val="20"/>
          <w:szCs w:val="20"/>
          <w:color w:val="auto"/>
        </w:rPr>
      </w:pPr>
    </w:p>
    <w:p>
      <w:pPr>
        <w:ind w:left="360" w:right="120" w:hanging="356"/>
        <w:spacing w:after="0" w:line="271" w:lineRule="auto"/>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prevalence, duration and severity of potential side effects or other safety issues experienced with our product candidates or future product candidates, if any;</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timely receipt of necessary marketing approvals from the FDA and similar foreign regulatory authorities;</w:t>
      </w:r>
    </w:p>
    <w:p>
      <w:pPr>
        <w:spacing w:after="0" w:line="146" w:lineRule="exact"/>
        <w:rPr>
          <w:rFonts w:ascii="Arial" w:cs="Arial" w:eastAsia="Arial" w:hAnsi="Arial"/>
          <w:sz w:val="20"/>
          <w:szCs w:val="20"/>
          <w:color w:val="auto"/>
        </w:rPr>
      </w:pPr>
    </w:p>
    <w:p>
      <w:pPr>
        <w:ind w:left="360" w:right="40" w:hanging="356"/>
        <w:spacing w:after="0" w:line="258" w:lineRule="auto"/>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77" w:lineRule="exact"/>
        <w:rPr>
          <w:rFonts w:ascii="Arial" w:cs="Arial" w:eastAsia="Arial" w:hAnsi="Arial"/>
          <w:sz w:val="22"/>
          <w:szCs w:val="22"/>
          <w:color w:val="auto"/>
        </w:rPr>
      </w:pPr>
    </w:p>
    <w:p>
      <w:pPr>
        <w:ind w:left="360" w:right="200" w:hanging="356"/>
        <w:spacing w:after="0" w:line="258" w:lineRule="auto"/>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77" w:lineRule="exact"/>
        <w:rPr>
          <w:rFonts w:ascii="Arial" w:cs="Arial" w:eastAsia="Arial" w:hAnsi="Arial"/>
          <w:sz w:val="22"/>
          <w:szCs w:val="22"/>
          <w:color w:val="auto"/>
        </w:rPr>
      </w:pPr>
    </w:p>
    <w:p>
      <w:pPr>
        <w:ind w:left="360" w:right="200" w:hanging="356"/>
        <w:spacing w:after="0" w:line="254" w:lineRule="auto"/>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81" w:lineRule="exact"/>
        <w:rPr>
          <w:rFonts w:ascii="Arial" w:cs="Arial" w:eastAsia="Arial" w:hAnsi="Arial"/>
          <w:sz w:val="22"/>
          <w:szCs w:val="22"/>
          <w:color w:val="auto"/>
        </w:rPr>
      </w:pPr>
    </w:p>
    <w:p>
      <w:pPr>
        <w:jc w:val="both"/>
        <w:ind w:left="360" w:right="60" w:hanging="356"/>
        <w:spacing w:after="0" w:line="318" w:lineRule="auto"/>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25" w:lineRule="exact"/>
        <w:rPr>
          <w:rFonts w:ascii="Arial" w:cs="Arial" w:eastAsia="Arial" w:hAnsi="Arial"/>
          <w:sz w:val="19"/>
          <w:szCs w:val="19"/>
          <w:color w:val="auto"/>
        </w:rPr>
      </w:pPr>
    </w:p>
    <w:p>
      <w:pPr>
        <w:ind w:left="360" w:hanging="356"/>
        <w:spacing w:after="0"/>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patient demand for our product candidates and any future product candidates, if approved; and</w:t>
      </w:r>
    </w:p>
    <w:p>
      <w:pPr>
        <w:spacing w:after="0" w:line="123" w:lineRule="exact"/>
        <w:rPr>
          <w:rFonts w:ascii="Arial" w:cs="Arial" w:eastAsia="Arial" w:hAnsi="Arial"/>
          <w:sz w:val="22"/>
          <w:szCs w:val="22"/>
          <w:color w:val="auto"/>
        </w:rPr>
      </w:pPr>
    </w:p>
    <w:p>
      <w:pPr>
        <w:ind w:left="360" w:right="500" w:hanging="356"/>
        <w:spacing w:after="0" w:line="271" w:lineRule="auto"/>
        <w:tabs>
          <w:tab w:leader="none" w:pos="3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our ability to establish and enforce intellectual property rights in and to our product candidates or any future product candidates.</w:t>
      </w:r>
    </w:p>
    <w:p>
      <w:pPr>
        <w:spacing w:after="0" w:line="181"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future financial condition</w:t>
      </w:r>
    </w:p>
    <w:p>
      <w:pPr>
        <w:spacing w:after="0" w:line="231" w:lineRule="exact"/>
        <w:rPr>
          <w:sz w:val="20"/>
          <w:szCs w:val="20"/>
          <w:color w:val="auto"/>
        </w:rPr>
      </w:pPr>
    </w:p>
    <w:p>
      <w:pPr>
        <w:ind w:right="20"/>
        <w:spacing w:after="0" w:line="328" w:lineRule="auto"/>
        <w:rPr>
          <w:sz w:val="20"/>
          <w:szCs w:val="20"/>
          <w:color w:val="auto"/>
        </w:rPr>
      </w:pPr>
      <w:r>
        <w:rPr>
          <w:rFonts w:ascii="Arial" w:cs="Arial" w:eastAsia="Arial" w:hAnsi="Arial"/>
          <w:sz w:val="20"/>
          <w:szCs w:val="20"/>
          <w:b w:val="1"/>
          <w:bCs w:val="1"/>
          <w:i w:val="1"/>
          <w:iCs w:val="1"/>
          <w:color w:val="auto"/>
        </w:rPr>
        <w:t>We will need substantial additional funding. If we are unable to raise capital when needed, we would be compelled to delay, reduce or eliminate our product development programs or commercialization efforts.</w:t>
      </w:r>
    </w:p>
    <w:p>
      <w:pPr>
        <w:sectPr>
          <w:pgSz w:w="11880" w:h="15480" w:orient="portrait"/>
          <w:cols w:equalWidth="0" w:num="1">
            <w:col w:w="10180"/>
          </w:cols>
          <w:pgMar w:left="820" w:top="67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180"/>
          </w:cols>
          <w:pgMar w:left="820" w:top="678" w:right="880" w:bottom="0" w:gutter="0" w:footer="0" w:header="0"/>
          <w:type w:val="continuous"/>
        </w:sectPr>
      </w:pPr>
    </w:p>
    <w:bookmarkStart w:id="66" w:name="page67"/>
    <w:bookmarkEnd w:id="66"/>
    <w:p>
      <w:pPr>
        <w:ind w:right="20"/>
        <w:spacing w:after="0" w:line="286" w:lineRule="auto"/>
        <w:rPr>
          <w:sz w:val="20"/>
          <w:szCs w:val="20"/>
          <w:color w:val="auto"/>
        </w:rPr>
      </w:pPr>
      <w:r>
        <w:rPr>
          <w:rFonts w:ascii="Arial" w:cs="Arial" w:eastAsia="Arial" w:hAnsi="Arial"/>
          <w:sz w:val="19"/>
          <w:szCs w:val="19"/>
          <w:color w:val="auto"/>
        </w:rPr>
        <w:t>We expect our expenses to increase in parallel with our ongoing activities, particularly as we continue our clinical development activities and seek marketing approval for, our lead product candidate. In addition, if we obtain marketing approval for any of our product candidates, we expect to incur significant commercialization expenses related to product sales, marketing, manufacturing and distribution. Accordingly, we will need to obtain substantial additional funding in connection with our continuing operations. 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For instance, the trading prices for our common stock and for other biopharmaceutical companies have been highly volatile. As a result, we may face difficulties raising capital through sales of our equity or debt securities or such sales may be on unfavorable terms. Similarly, adverse market or macroeconomic conditions or market volatility resulting from global economic developments, political unrest, changes in international trade relationships and military conflicts, potential for significant changes in U.S. policies or regulatory environment, high inflation, changing interest rates, international tariffs, future public health epidemics or other factors, could materially and adversely affect our ability to consummate an equity or debt financing on favorable terms, or at all.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For example, the implementation of the recently enacted BIOSECURE Act has the potential to restrict the ability of U.S. biopharmaceutical companies to purchase services or products from, or otherwise collaborate with, certain Chinese biotechnology companies of concern without losing the ability to contract with, or otherwise receive funding from, the U.S. government. This, in turn, could materially and adversely affect our or our collaborators’ ability to manufacture or supply product candidates or advance our clinical development programs, which could materially and adversely affect our business and future prospects. We continue to assess the impact of the legislation on our contractual relationships.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when needed or on attractive terms, we would be forced to delay, reduce or eliminate our discovery and preclinical development programs or any future commercialization efforts.</w:t>
      </w:r>
    </w:p>
    <w:p>
      <w:pPr>
        <w:spacing w:after="0" w:line="200" w:lineRule="exact"/>
        <w:rPr>
          <w:sz w:val="20"/>
          <w:szCs w:val="20"/>
          <w:color w:val="auto"/>
        </w:rPr>
      </w:pPr>
    </w:p>
    <w:p>
      <w:pPr>
        <w:spacing w:after="0" w:line="248"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We had cash, cash equivalents and investments of $128.7 million as of December 31, 2025. We believe that, based upon our current operating plan, our existing capital resources will be sufficient to fund our anticipated operations into the second half of 2028. Our future capital requirements will depend on many factors, including:</w:t>
      </w:r>
    </w:p>
    <w:p>
      <w:pPr>
        <w:spacing w:after="0" w:line="43" w:lineRule="exact"/>
        <w:rPr>
          <w:sz w:val="20"/>
          <w:szCs w:val="20"/>
          <w:color w:val="auto"/>
        </w:rPr>
      </w:pPr>
    </w:p>
    <w:p>
      <w:pPr>
        <w:ind w:left="360" w:right="500" w:hanging="356"/>
        <w:spacing w:after="0" w:line="271" w:lineRule="auto"/>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scope, progress, results and costs of discovery, preclinical development and clinical trials for our product candidates;</w:t>
      </w:r>
    </w:p>
    <w:p>
      <w:pPr>
        <w:spacing w:after="0" w:line="63" w:lineRule="exact"/>
        <w:rPr>
          <w:rFonts w:ascii="Arial" w:cs="Arial" w:eastAsia="Arial" w:hAnsi="Arial"/>
          <w:sz w:val="22"/>
          <w:szCs w:val="22"/>
          <w:color w:val="auto"/>
        </w:rPr>
      </w:pPr>
    </w:p>
    <w:p>
      <w:pPr>
        <w:ind w:left="360" w:right="340" w:hanging="356"/>
        <w:spacing w:after="0" w:line="271" w:lineRule="auto"/>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extent to which we enter into collaboration arrangements with regard to product discovery or acquire or in-license products or technologies;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our ability to establish collaborations on favorable terms, if at all;</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costs, timing and outcome of regulatory review of our product candidates;</w:t>
      </w:r>
    </w:p>
    <w:p>
      <w:pPr>
        <w:spacing w:after="0" w:line="123" w:lineRule="exact"/>
        <w:rPr>
          <w:rFonts w:ascii="Arial" w:cs="Arial" w:eastAsia="Arial" w:hAnsi="Arial"/>
          <w:sz w:val="22"/>
          <w:szCs w:val="22"/>
          <w:color w:val="auto"/>
        </w:rPr>
      </w:pPr>
    </w:p>
    <w:p>
      <w:pPr>
        <w:ind w:left="360" w:right="1020" w:hanging="356"/>
        <w:spacing w:after="0" w:line="322"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costs of future commercialization activities, including product sales, marketing, manufacturing and distribution, for any of our product candidates for which we receive marketing approval;</w:t>
      </w:r>
    </w:p>
    <w:p>
      <w:pPr>
        <w:spacing w:after="0" w:line="17" w:lineRule="exact"/>
        <w:rPr>
          <w:rFonts w:ascii="Arial" w:cs="Arial" w:eastAsia="Arial" w:hAnsi="Arial"/>
          <w:sz w:val="20"/>
          <w:szCs w:val="20"/>
          <w:color w:val="auto"/>
        </w:rPr>
      </w:pPr>
    </w:p>
    <w:p>
      <w:pPr>
        <w:ind w:left="360" w:right="180" w:hanging="356"/>
        <w:spacing w:after="0" w:line="271" w:lineRule="auto"/>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revenue, if any, received from commercial sales of our product candidates, should any of our product candidates receive marketing approval; and</w:t>
      </w:r>
    </w:p>
    <w:p>
      <w:pPr>
        <w:spacing w:after="0" w:line="63" w:lineRule="exact"/>
        <w:rPr>
          <w:rFonts w:ascii="Arial" w:cs="Arial" w:eastAsia="Arial" w:hAnsi="Arial"/>
          <w:sz w:val="22"/>
          <w:szCs w:val="22"/>
          <w:color w:val="auto"/>
        </w:rPr>
      </w:pPr>
    </w:p>
    <w:p>
      <w:pPr>
        <w:ind w:left="360" w:right="60" w:hanging="356"/>
        <w:spacing w:after="0" w:line="271" w:lineRule="auto"/>
        <w:tabs>
          <w:tab w:leader="none" w:pos="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costs of preparing, filing and prosecuting patent applications, obtaining, maintaining, enforcing and protecting our intellectual property rights and defending intellectual property-related claims.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240"/>
          </w:cols>
          <w:pgMar w:left="820" w:top="678" w:right="820" w:bottom="0" w:gutter="0" w:footer="0" w:header="0"/>
          <w:type w:val="continuous"/>
        </w:sectPr>
      </w:pPr>
    </w:p>
    <w:bookmarkStart w:id="67" w:name="page68"/>
    <w:bookmarkEnd w:id="67"/>
    <w:p>
      <w:pPr>
        <w:spacing w:after="0" w:line="278" w:lineRule="auto"/>
        <w:rPr>
          <w:sz w:val="20"/>
          <w:szCs w:val="20"/>
          <w:color w:val="auto"/>
        </w:rPr>
      </w:pPr>
      <w:r>
        <w:rPr>
          <w:rFonts w:ascii="Arial" w:cs="Arial" w:eastAsia="Arial" w:hAnsi="Arial"/>
          <w:sz w:val="20"/>
          <w:szCs w:val="20"/>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government regulation</w:t>
      </w:r>
    </w:p>
    <w:p>
      <w:pPr>
        <w:spacing w:after="0" w:line="239"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b w:val="1"/>
          <w:bCs w:val="1"/>
          <w:i w:val="1"/>
          <w:iCs w:val="1"/>
          <w:color w:val="auto"/>
        </w:rPr>
        <w:t>We are very early in our development efforts. Most of our product candidates are still in early clinical development. If we are unable to advance silevertinib or any of our future product candidates through clinical development, obtain regulatory approval and ultimately commercialize silevertinib or any of our future product candidates or experience significant delays in doing so, our business will be materially harmed.</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auto"/>
        </w:rPr>
        <w:t>We are very early in our development efforts, and most of our product candidates are still in early clinical or preclinical development. We have invested substantially all of our efforts and financial resources in the identification and preclinical development of our product candidates, including the development of our lead clinical-stage product candidate, silevertinib. Our ability to generate product revenues, which we do not expect will occur for many years, if ever, will depend on the successful development, approval and eventual commercialization of silevertinib or one or more of our future product candidates, which may never occur. We currently generate no revenue from sales of any products, and we may never be able to develop or commercialize a marketable product. The success of our product candidates will depend on several factors, including the following:</w:t>
      </w:r>
    </w:p>
    <w:p>
      <w:pPr>
        <w:spacing w:after="0" w:line="64" w:lineRule="exact"/>
        <w:rPr>
          <w:sz w:val="20"/>
          <w:szCs w:val="20"/>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successful completion of preclinical studies;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approval of INDs for our planned clinical trials or future clinical trials;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FDA acceptance of our clinical development strategy;</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successful enrollment in current and future clinical trials;</w:t>
      </w:r>
    </w:p>
    <w:p>
      <w:pPr>
        <w:spacing w:after="0" w:line="123" w:lineRule="exact"/>
        <w:rPr>
          <w:rFonts w:ascii="Arial" w:cs="Arial" w:eastAsia="Arial" w:hAnsi="Arial"/>
          <w:sz w:val="22"/>
          <w:szCs w:val="22"/>
          <w:color w:val="auto"/>
        </w:rPr>
      </w:pPr>
    </w:p>
    <w:p>
      <w:pPr>
        <w:ind w:left="360" w:right="560" w:hanging="356"/>
        <w:spacing w:after="0" w:line="271" w:lineRule="auto"/>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positive results from current or future clinical trials that are supportive of safety and efficacy in the intended patient populations;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receipt of regulatory approvals from applicable regulatory authorities;</w:t>
      </w:r>
    </w:p>
    <w:p>
      <w:pPr>
        <w:spacing w:after="0" w:line="123" w:lineRule="exact"/>
        <w:rPr>
          <w:rFonts w:ascii="Arial" w:cs="Arial" w:eastAsia="Arial" w:hAnsi="Arial"/>
          <w:sz w:val="22"/>
          <w:szCs w:val="22"/>
          <w:color w:val="auto"/>
        </w:rPr>
      </w:pPr>
    </w:p>
    <w:p>
      <w:pPr>
        <w:ind w:left="360" w:right="280" w:hanging="356"/>
        <w:spacing w:after="0" w:line="271" w:lineRule="auto"/>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establishing commercial manufacturing capabilities or making arrangements with third-party manufacturers for clinical supply and commercial manufacturing;</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obtaining and maintaining patent and trade secret protection or regulatory exclusivity for our product candidates;</w:t>
      </w:r>
    </w:p>
    <w:p>
      <w:pPr>
        <w:spacing w:after="0" w:line="157" w:lineRule="exact"/>
        <w:rPr>
          <w:rFonts w:ascii="Arial" w:cs="Arial" w:eastAsia="Arial" w:hAnsi="Arial"/>
          <w:sz w:val="19"/>
          <w:szCs w:val="19"/>
          <w:color w:val="auto"/>
        </w:rPr>
      </w:pPr>
    </w:p>
    <w:p>
      <w:pPr>
        <w:ind w:left="360" w:right="280" w:hanging="356"/>
        <w:spacing w:after="0" w:line="271" w:lineRule="auto"/>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launching commercial sales of our product candidates, if and when approved, whether alone or in collaboration with others;</w:t>
      </w:r>
    </w:p>
    <w:p>
      <w:pPr>
        <w:spacing w:after="0" w:line="63" w:lineRule="exact"/>
        <w:rPr>
          <w:rFonts w:ascii="Arial" w:cs="Arial" w:eastAsia="Arial" w:hAnsi="Arial"/>
          <w:sz w:val="22"/>
          <w:szCs w:val="22"/>
          <w:color w:val="auto"/>
        </w:rPr>
      </w:pPr>
    </w:p>
    <w:p>
      <w:pPr>
        <w:ind w:left="360" w:right="200" w:hanging="356"/>
        <w:spacing w:after="0" w:line="271" w:lineRule="auto"/>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acceptance of the product candidates, if and when approved, by patients, the medical community and third-party payors;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effectively competing with other therapies;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obtaining and maintaining third-party insurance coverage and adequate reimbursement;</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obtaining, enforcing and defending intellectual property rights and claims; and</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maintaining a continued acceptable safety profile of the product candidates following approval.</w:t>
      </w:r>
    </w:p>
    <w:p>
      <w:pPr>
        <w:spacing w:after="0" w:line="241" w:lineRule="exact"/>
        <w:rPr>
          <w:sz w:val="20"/>
          <w:szCs w:val="20"/>
          <w:color w:val="auto"/>
        </w:rPr>
      </w:pPr>
    </w:p>
    <w:p>
      <w:pPr>
        <w:ind w:right="20"/>
        <w:spacing w:after="0" w:line="318" w:lineRule="auto"/>
        <w:rPr>
          <w:sz w:val="20"/>
          <w:szCs w:val="20"/>
          <w:color w:val="auto"/>
        </w:rPr>
      </w:pPr>
      <w:r>
        <w:rPr>
          <w:rFonts w:ascii="Arial" w:cs="Arial" w:eastAsia="Arial" w:hAnsi="Arial"/>
          <w:sz w:val="19"/>
          <w:szCs w:val="19"/>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240"/>
          </w:cols>
          <w:pgMar w:left="820" w:top="678" w:right="820" w:bottom="0" w:gutter="0" w:footer="0" w:header="0"/>
          <w:type w:val="continuous"/>
        </w:sectPr>
      </w:pPr>
    </w:p>
    <w:bookmarkStart w:id="68" w:name="page69"/>
    <w:bookmarkEnd w:id="68"/>
    <w:p>
      <w:pPr>
        <w:ind w:right="280"/>
        <w:spacing w:after="0" w:line="301" w:lineRule="auto"/>
        <w:rPr>
          <w:sz w:val="20"/>
          <w:szCs w:val="20"/>
          <w:color w:val="auto"/>
        </w:rPr>
      </w:pPr>
      <w:r>
        <w:rPr>
          <w:rFonts w:ascii="Arial" w:cs="Arial" w:eastAsia="Arial" w:hAnsi="Arial"/>
          <w:sz w:val="20"/>
          <w:szCs w:val="20"/>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Arial" w:cs="Arial" w:eastAsia="Arial" w:hAnsi="Arial"/>
          <w:sz w:val="20"/>
          <w:szCs w:val="20"/>
          <w:color w:val="auto"/>
        </w:rPr>
        <w:t>.</w:t>
      </w:r>
    </w:p>
    <w:p>
      <w:pPr>
        <w:spacing w:after="0" w:line="15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Our most advanced product candidate, silevertinib, is currently in a Phase 2 clinical trial in patients with EGFRm NSCLC. Whether the results from our current and future clinical trials will suffice to obtain approval will be a review issue and the FDA may not grant approval and may require that we conduct one or more controlled, randomized Phase 3 clinical trials to obtain approval. Global regulatory approvals in precision cancer medicines are limited. It may be difficult for the Company to obtain approvals outside of the U.S.</w:t>
      </w:r>
    </w:p>
    <w:p>
      <w:pPr>
        <w:spacing w:after="0" w:line="17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6"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54" w:lineRule="exact"/>
        <w:rPr>
          <w:sz w:val="20"/>
          <w:szCs w:val="20"/>
          <w:color w:val="auto"/>
        </w:rPr>
      </w:pPr>
    </w:p>
    <w:p>
      <w:pPr>
        <w:ind w:left="360" w:right="400" w:hanging="356"/>
        <w:spacing w:after="0" w:line="271" w:lineRule="auto"/>
        <w:tabs>
          <w:tab w:leader="none" w:pos="3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FDA or comparable foreign regulatory authorities may disagree with the design or implementation of our clinical trials;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FDA or comparable foreign regulatory authorities may disagree with our clinical development strategy;</w:t>
      </w:r>
    </w:p>
    <w:p>
      <w:pPr>
        <w:spacing w:after="0" w:line="146" w:lineRule="exact"/>
        <w:rPr>
          <w:rFonts w:ascii="Arial" w:cs="Arial" w:eastAsia="Arial" w:hAnsi="Arial"/>
          <w:sz w:val="20"/>
          <w:szCs w:val="20"/>
          <w:color w:val="auto"/>
        </w:rPr>
      </w:pPr>
    </w:p>
    <w:p>
      <w:pPr>
        <w:ind w:left="360" w:right="40" w:hanging="356"/>
        <w:spacing w:after="0" w:line="271" w:lineRule="auto"/>
        <w:tabs>
          <w:tab w:leader="none" w:pos="3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we may be unable to demonstrate to the satisfaction of the FDA or comparable foreign regulatory authorities that a drug candidate is safe and effective for its proposed indication;</w:t>
      </w:r>
    </w:p>
    <w:p>
      <w:pPr>
        <w:spacing w:after="0" w:line="63" w:lineRule="exact"/>
        <w:rPr>
          <w:rFonts w:ascii="Arial" w:cs="Arial" w:eastAsia="Arial" w:hAnsi="Arial"/>
          <w:sz w:val="22"/>
          <w:szCs w:val="22"/>
          <w:color w:val="auto"/>
        </w:rPr>
      </w:pPr>
    </w:p>
    <w:p>
      <w:pPr>
        <w:ind w:left="360" w:right="160" w:hanging="356"/>
        <w:spacing w:after="0" w:line="271" w:lineRule="auto"/>
        <w:tabs>
          <w:tab w:leader="none" w:pos="3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results of clinical trials may not meet the level of statistical significance required by the FDA or comparable foreign regulatory authorities for approval;</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we may be unable to demonstrate that a product candidate’s clinical and other benefits outweigh its safety risks;</w:t>
      </w:r>
    </w:p>
    <w:p>
      <w:pPr>
        <w:spacing w:after="0" w:line="157" w:lineRule="exact"/>
        <w:rPr>
          <w:rFonts w:ascii="Arial" w:cs="Arial" w:eastAsia="Arial" w:hAnsi="Arial"/>
          <w:sz w:val="19"/>
          <w:szCs w:val="19"/>
          <w:color w:val="auto"/>
        </w:rPr>
      </w:pPr>
    </w:p>
    <w:p>
      <w:pPr>
        <w:ind w:left="360" w:right="860" w:hanging="356"/>
        <w:spacing w:after="0" w:line="271" w:lineRule="auto"/>
        <w:tabs>
          <w:tab w:leader="none" w:pos="3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FDA or comparable foreign regulatory authorities may disagree with our interpretation of data from preclinical studies or clinical trials;</w:t>
      </w:r>
    </w:p>
    <w:p>
      <w:pPr>
        <w:spacing w:after="0" w:line="63" w:lineRule="exact"/>
        <w:rPr>
          <w:rFonts w:ascii="Arial" w:cs="Arial" w:eastAsia="Arial" w:hAnsi="Arial"/>
          <w:sz w:val="22"/>
          <w:szCs w:val="22"/>
          <w:color w:val="auto"/>
        </w:rPr>
      </w:pPr>
    </w:p>
    <w:p>
      <w:pPr>
        <w:ind w:left="360" w:right="20" w:hanging="356"/>
        <w:spacing w:after="0" w:line="322"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data collected from clinical trials of our product candidates may not be sufficient to support the submission of an NDA or other submission or to obtain regulatory approval in the United States or elsewhere;</w:t>
      </w:r>
    </w:p>
    <w:p>
      <w:pPr>
        <w:spacing w:after="0" w:line="17" w:lineRule="exact"/>
        <w:rPr>
          <w:rFonts w:ascii="Arial" w:cs="Arial" w:eastAsia="Arial" w:hAnsi="Arial"/>
          <w:sz w:val="20"/>
          <w:szCs w:val="20"/>
          <w:color w:val="auto"/>
        </w:rPr>
      </w:pPr>
    </w:p>
    <w:p>
      <w:pPr>
        <w:ind w:left="360" w:right="700" w:hanging="356"/>
        <w:spacing w:after="0" w:line="348" w:lineRule="auto"/>
        <w:tabs>
          <w:tab w:leader="none" w:pos="3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9"/>
          <w:szCs w:val="19"/>
          <w:color w:val="auto"/>
        </w:rPr>
      </w:pPr>
    </w:p>
    <w:p>
      <w:pPr>
        <w:ind w:left="360" w:right="300" w:hanging="356"/>
        <w:spacing w:after="0" w:line="271" w:lineRule="auto"/>
        <w:tabs>
          <w:tab w:leader="none" w:pos="3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approval policies or regulations of the FDA or comparable foreign regulatory authorities may significantly change in a manner rendering our clinical data insufficient for approval.</w:t>
      </w:r>
    </w:p>
    <w:p>
      <w:pPr>
        <w:sectPr>
          <w:pgSz w:w="11880" w:h="15480" w:orient="portrait"/>
          <w:cols w:equalWidth="0" w:num="1">
            <w:col w:w="10160"/>
          </w:cols>
          <w:pgMar w:left="820" w:top="66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160"/>
          </w:cols>
          <w:pgMar w:left="820" w:top="668" w:right="900" w:bottom="0" w:gutter="0" w:footer="0" w:header="0"/>
          <w:type w:val="continuous"/>
        </w:sectPr>
      </w:pPr>
    </w:p>
    <w:bookmarkStart w:id="69" w:name="page70"/>
    <w:bookmarkEnd w:id="69"/>
    <w:p>
      <w:pPr>
        <w:ind w:right="40"/>
        <w:spacing w:after="0" w:line="287" w:lineRule="auto"/>
        <w:rPr>
          <w:sz w:val="20"/>
          <w:szCs w:val="20"/>
          <w:color w:val="auto"/>
        </w:rPr>
      </w:pPr>
      <w:r>
        <w:rPr>
          <w:rFonts w:ascii="Arial" w:cs="Arial" w:eastAsia="Arial" w:hAnsi="Arial"/>
          <w:sz w:val="20"/>
          <w:szCs w:val="20"/>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0" w:lineRule="exact"/>
        <w:rPr>
          <w:sz w:val="20"/>
          <w:szCs w:val="20"/>
          <w:color w:val="auto"/>
        </w:rPr>
      </w:pPr>
    </w:p>
    <w:p>
      <w:pPr>
        <w:ind w:right="460"/>
        <w:spacing w:after="0" w:line="328" w:lineRule="auto"/>
        <w:rPr>
          <w:sz w:val="20"/>
          <w:szCs w:val="20"/>
          <w:color w:val="auto"/>
        </w:rPr>
      </w:pPr>
      <w:r>
        <w:rPr>
          <w:rFonts w:ascii="Arial" w:cs="Arial" w:eastAsia="Arial" w:hAnsi="Arial"/>
          <w:sz w:val="20"/>
          <w:szCs w:val="20"/>
          <w:b w:val="1"/>
          <w:bCs w:val="1"/>
          <w:i w:val="1"/>
          <w:iCs w:val="1"/>
          <w:color w:val="auto"/>
        </w:rPr>
        <w:t>Our clinical trials may fail to demonstrate adequately the safety and efficacy of any of our product candidates, which would prevent or delay regulatory approval and commercialization.</w:t>
      </w:r>
    </w:p>
    <w:p>
      <w:pPr>
        <w:spacing w:after="0" w:line="13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To obtain the requisite regulatory approvals to market and sell any of our product candidates, including silevertinib and any other future product candidates, we must demonstrate through extensive preclinical studies and clinical trials that our products are safe and effective in humans. Our product candidates may fail to demonstrate efficacy in humans, and particularly across tumor types. Clinical testing is expensive and can take many years to complete, and its outcome is inherently uncertain. Failure can occur at any time during the clinical trial process and our future clinical trial results may not be successful.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a product candidate in the United States or abroad, we or our potential future collaborators must demonstrate with substantial evidence from adequate and well-controlled clinical trials, and to the satisfaction of the FDA, the EMA or other comparable foreign regulatory authorities, that such product candidates are safe and effective for their intended uses.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Even if the trials are successfully completed, clinical data are often susceptible to varying interpretations and analyses, and we cannot guarantee that the FDA, the EMA, or other comparable foreign regulatory authorities will interpret the results as we do, and more trials could be required before we submit our product candidates for approval. We cannot guarantee that the FDA, the EMA or other comparable foreign regulatory authorities will view our product candidates as having sufficient efficacy to support a targeted indication even if positive results are observed in clinical trials. To the extent that the results of the trials are not satisfactory to the FDA, the EMA or other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Additionally, any safety or efficacy concerns observed in any tumor-specific subgroup of our clinical trials could limit the prospects for regulatory approval of our product candidates for a targeted indication, which could have a material adverse effect on our business, financial condition and results of operations.</w:t>
      </w:r>
    </w:p>
    <w:p>
      <w:pPr>
        <w:spacing w:after="0" w:line="180" w:lineRule="exact"/>
        <w:rPr>
          <w:sz w:val="20"/>
          <w:szCs w:val="20"/>
          <w:color w:val="auto"/>
        </w:rPr>
      </w:pPr>
    </w:p>
    <w:p>
      <w:pPr>
        <w:ind w:right="260"/>
        <w:spacing w:after="0" w:line="299" w:lineRule="auto"/>
        <w:rPr>
          <w:sz w:val="20"/>
          <w:szCs w:val="20"/>
          <w:color w:val="auto"/>
        </w:rPr>
      </w:pPr>
      <w:r>
        <w:rPr>
          <w:rFonts w:ascii="Arial" w:cs="Arial" w:eastAsia="Arial" w:hAnsi="Arial"/>
          <w:sz w:val="20"/>
          <w:szCs w:val="20"/>
          <w:b w:val="1"/>
          <w:bCs w:val="1"/>
          <w:i w:val="1"/>
          <w:iCs w:val="1"/>
          <w:color w:val="auto"/>
        </w:rPr>
        <w:t>We may seek orphan drug status for silevertinib and some of our other future product candidates, but we may be unable to obtain such designations or to maintain the benefits associated with orphan drug status, including market exclusivity, which may cause our revenue, if any, to be reduced.</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240"/>
          </w:cols>
          <w:pgMar w:left="820" w:top="678" w:right="820" w:bottom="0" w:gutter="0" w:footer="0" w:header="0"/>
          <w:type w:val="continuous"/>
        </w:sectPr>
      </w:pPr>
    </w:p>
    <w:bookmarkStart w:id="70" w:name="page71"/>
    <w:bookmarkEnd w:id="70"/>
    <w:p>
      <w:pPr>
        <w:ind w:right="120"/>
        <w:spacing w:after="0" w:line="275" w:lineRule="auto"/>
        <w:rPr>
          <w:sz w:val="20"/>
          <w:szCs w:val="20"/>
          <w:color w:val="auto"/>
        </w:rPr>
      </w:pPr>
      <w:r>
        <w:rPr>
          <w:rFonts w:ascii="Arial" w:cs="Arial" w:eastAsia="Arial" w:hAnsi="Arial"/>
          <w:sz w:val="20"/>
          <w:szCs w:val="20"/>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biologic for the same approved use or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drugs that have a different active ingredient for use in treating the same approved use or indication. Furthermore, the FDA can waive orphan exclusivity if we are unable to manufacture sufficient supply of our product.</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We may seek orphan drug designation for silevertinib and some or all of our other future product candidates in additional orphan indications in which there is a medically plausible basis for the use of these products.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For example, the FDA has expressed concerns regarding the regulatory considerations for orphan drug designation as applied to tissue agnostic therapies, and the FDA may interpret the FD&amp;C Act and regulations promulgated thereunder in a way that limits or blocks our ability to obtain orphan drug designation or orphan drug exclusivity, if our product candidates are approved, for our targeted indications.</w:t>
      </w:r>
    </w:p>
    <w:p>
      <w:pPr>
        <w:spacing w:after="0" w:line="182" w:lineRule="exact"/>
        <w:rPr>
          <w:sz w:val="20"/>
          <w:szCs w:val="20"/>
          <w:color w:val="auto"/>
        </w:rPr>
      </w:pPr>
    </w:p>
    <w:p>
      <w:pPr>
        <w:jc w:val="both"/>
        <w:ind w:right="60"/>
        <w:spacing w:after="0" w:line="254" w:lineRule="auto"/>
        <w:rPr>
          <w:sz w:val="20"/>
          <w:szCs w:val="20"/>
          <w:color w:val="auto"/>
        </w:rPr>
      </w:pPr>
      <w:r>
        <w:rPr>
          <w:rFonts w:ascii="Arial" w:cs="Arial" w:eastAsia="Arial" w:hAnsi="Arial"/>
          <w:sz w:val="22"/>
          <w:szCs w:val="22"/>
          <w:color w:val="auto"/>
        </w:rPr>
        <w:t>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90" w:lineRule="exact"/>
        <w:rPr>
          <w:sz w:val="20"/>
          <w:szCs w:val="20"/>
          <w:color w:val="auto"/>
        </w:rPr>
      </w:pPr>
    </w:p>
    <w:p>
      <w:pPr>
        <w:ind w:right="100"/>
        <w:spacing w:after="0" w:line="261" w:lineRule="auto"/>
        <w:rPr>
          <w:sz w:val="20"/>
          <w:szCs w:val="20"/>
          <w:color w:val="auto"/>
        </w:rPr>
      </w:pPr>
      <w:r>
        <w:rPr>
          <w:rFonts w:ascii="Arial" w:cs="Arial" w:eastAsia="Arial" w:hAnsi="Arial"/>
          <w:sz w:val="22"/>
          <w:szCs w:val="22"/>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96"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We may seek Breakthrough Therapy designation for silevertinib and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240"/>
          </w:cols>
          <w:pgMar w:left="820" w:top="678" w:right="820" w:bottom="0" w:gutter="0" w:footer="0" w:header="0"/>
          <w:type w:val="continuous"/>
        </w:sectPr>
      </w:pPr>
    </w:p>
    <w:bookmarkStart w:id="71" w:name="page72"/>
    <w:bookmarkEnd w:id="71"/>
    <w:p>
      <w:pPr>
        <w:spacing w:after="0" w:line="276" w:lineRule="auto"/>
        <w:rPr>
          <w:sz w:val="20"/>
          <w:szCs w:val="20"/>
          <w:color w:val="auto"/>
        </w:rPr>
      </w:pPr>
      <w:r>
        <w:rPr>
          <w:rFonts w:ascii="Arial" w:cs="Arial" w:eastAsia="Arial" w:hAnsi="Arial"/>
          <w:sz w:val="20"/>
          <w:szCs w:val="20"/>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silevertinib and some or all of our future product candidates for the treatment of various cancers, there can be no assurance that we will receive breakthrough therapy designation.</w:t>
      </w:r>
    </w:p>
    <w:p>
      <w:pPr>
        <w:spacing w:after="0" w:line="174" w:lineRule="exact"/>
        <w:rPr>
          <w:sz w:val="20"/>
          <w:szCs w:val="20"/>
          <w:color w:val="auto"/>
        </w:rPr>
      </w:pPr>
    </w:p>
    <w:p>
      <w:pPr>
        <w:ind w:right="660"/>
        <w:spacing w:after="0" w:line="391" w:lineRule="auto"/>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 and does not increase the likelihood that our product candidates will receive marketing approval.</w:t>
      </w:r>
    </w:p>
    <w:p>
      <w:pPr>
        <w:spacing w:after="0" w:line="88"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color w:val="auto"/>
        </w:rPr>
        <w:t>If a drug is intended for the treatment of a serious or life-threatening condition and the drug demonstrates the potential to address unmet medical needs for this condition, the drug sponsor may apply for FDA Fast Track designation for a particular indication. Silevertinib received Fast Track Designation from the FDA for the treatment of patients with metastatic EGFRm C797S-positive NSCLC, without T790M mutation, whose disease has progressed on/after treatment with a third-generation EGFR TKI. We may seek Fast Track designation for silevertinib for additional indications or certain of our future product candidates, but there is no assurance that the FDA will grant this status to any of our other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where we have received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240"/>
          </w:cols>
          <w:pgMar w:left="820" w:top="678" w:right="820" w:bottom="0" w:gutter="0" w:footer="0" w:header="0"/>
          <w:type w:val="continuous"/>
        </w:sectPr>
      </w:pPr>
    </w:p>
    <w:bookmarkStart w:id="72" w:name="page73"/>
    <w:bookmarkEnd w:id="72"/>
    <w:p>
      <w:pPr>
        <w:ind w:right="100"/>
        <w:spacing w:after="0" w:line="299" w:lineRule="auto"/>
        <w:rPr>
          <w:sz w:val="20"/>
          <w:szCs w:val="20"/>
          <w:color w:val="auto"/>
        </w:rPr>
      </w:pPr>
      <w:r>
        <w:rPr>
          <w:rFonts w:ascii="Arial" w:cs="Arial" w:eastAsia="Arial" w:hAnsi="Arial"/>
          <w:sz w:val="20"/>
          <w:szCs w:val="20"/>
          <w:b w:val="1"/>
          <w:bCs w:val="1"/>
          <w:i w:val="1"/>
          <w:iCs w:val="1"/>
          <w:color w:val="auto"/>
        </w:rPr>
        <w:t>We may seek approval of our product candidates, where applicable, under the FDA’s accelerated approval pathway. This pathway may not lead to a faster development, regulatory review or approval process and it does not increase the likelihood that our product candidates will receive marketing approval.</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We may seek approval of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receive accelerated approval, we may not experience a faster development or regulatory review or approval process, and receiving accelerated approval does not provide assurance of ultimate full FDA approval.</w:t>
      </w:r>
    </w:p>
    <w:p>
      <w:pPr>
        <w:spacing w:after="0" w:line="187" w:lineRule="exact"/>
        <w:rPr>
          <w:sz w:val="20"/>
          <w:szCs w:val="20"/>
          <w:color w:val="auto"/>
        </w:rPr>
      </w:pPr>
    </w:p>
    <w:p>
      <w:pPr>
        <w:ind w:right="240"/>
        <w:spacing w:after="0" w:line="358" w:lineRule="auto"/>
        <w:rPr>
          <w:sz w:val="20"/>
          <w:szCs w:val="20"/>
          <w:color w:val="auto"/>
        </w:rPr>
      </w:pPr>
      <w:r>
        <w:rPr>
          <w:rFonts w:ascii="Arial" w:cs="Arial" w:eastAsia="Arial" w:hAnsi="Arial"/>
          <w:sz w:val="19"/>
          <w:szCs w:val="19"/>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ongoing regulatory obligations</w:t>
      </w:r>
    </w:p>
    <w:p>
      <w:pPr>
        <w:sectPr>
          <w:pgSz w:w="11880" w:h="15480" w:orient="portrait"/>
          <w:cols w:equalWidth="0" w:num="1">
            <w:col w:w="10240"/>
          </w:cols>
          <w:pgMar w:left="820" w:top="66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240"/>
          </w:cols>
          <w:pgMar w:left="820" w:top="668" w:right="820" w:bottom="0" w:gutter="0" w:footer="0" w:header="0"/>
          <w:type w:val="continuous"/>
        </w:sectPr>
      </w:pPr>
    </w:p>
    <w:bookmarkStart w:id="73" w:name="page74"/>
    <w:bookmarkEnd w:id="73"/>
    <w:p>
      <w:pPr>
        <w:ind w:right="320"/>
        <w:spacing w:after="0" w:line="255" w:lineRule="auto"/>
        <w:rPr>
          <w:sz w:val="20"/>
          <w:szCs w:val="20"/>
          <w:color w:val="auto"/>
        </w:rPr>
      </w:pPr>
      <w:r>
        <w:rPr>
          <w:rFonts w:ascii="Arial" w:cs="Arial" w:eastAsia="Arial" w:hAnsi="Arial"/>
          <w:sz w:val="22"/>
          <w:szCs w:val="22"/>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360" w:right="480" w:hanging="356"/>
        <w:spacing w:after="0" w:line="271" w:lineRule="auto"/>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restrictions on the marketing or manufacturing of our product candidates, withdrawal of the product from the market or voluntary or mandatory product recalls;</w:t>
      </w:r>
    </w:p>
    <w:p>
      <w:pPr>
        <w:spacing w:after="0" w:line="63" w:lineRule="exact"/>
        <w:rPr>
          <w:rFonts w:ascii="Arial" w:cs="Arial" w:eastAsia="Arial" w:hAnsi="Arial"/>
          <w:sz w:val="22"/>
          <w:szCs w:val="22"/>
          <w:color w:val="auto"/>
        </w:rPr>
      </w:pPr>
    </w:p>
    <w:p>
      <w:pPr>
        <w:ind w:left="360" w:right="1360" w:hanging="356"/>
        <w:spacing w:after="0" w:line="271" w:lineRule="auto"/>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manufacturing delays and supply disruptions where regulatory inspections identify observations of noncompliance requiring remediation;</w:t>
      </w:r>
    </w:p>
    <w:p>
      <w:pPr>
        <w:spacing w:after="0" w:line="63" w:lineRule="exact"/>
        <w:rPr>
          <w:rFonts w:ascii="Arial" w:cs="Arial" w:eastAsia="Arial" w:hAnsi="Arial"/>
          <w:sz w:val="22"/>
          <w:szCs w:val="22"/>
          <w:color w:val="auto"/>
        </w:rPr>
      </w:pPr>
    </w:p>
    <w:p>
      <w:pPr>
        <w:ind w:left="360" w:right="1100" w:hanging="356"/>
        <w:spacing w:after="0" w:line="271" w:lineRule="auto"/>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revisions to the labeling, including limitation on approved uses or the addition of additional warnings, contraindications or other safety information, including boxed warnings;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imposition of a REMS, which may include distribution or use restrictions;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requirements to conduct additional post-market clinical trials to assess the safety of the product;</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fines, warning letters or holds on clinical trials;</w:t>
      </w:r>
    </w:p>
    <w:p>
      <w:pPr>
        <w:spacing w:after="0" w:line="123" w:lineRule="exact"/>
        <w:rPr>
          <w:rFonts w:ascii="Arial" w:cs="Arial" w:eastAsia="Arial" w:hAnsi="Arial"/>
          <w:sz w:val="22"/>
          <w:szCs w:val="22"/>
          <w:color w:val="auto"/>
        </w:rPr>
      </w:pPr>
    </w:p>
    <w:p>
      <w:pPr>
        <w:ind w:left="360" w:right="680" w:hanging="356"/>
        <w:spacing w:after="0" w:line="271" w:lineRule="auto"/>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refusal by the FDA to approve pending applications or supplements to approved applications filed by us or suspension or revocation of approvals;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product seizure or detention, or refusal to permit the import or export of our product candidates; and</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injunctions or the imposition of civil or criminal penalties.</w:t>
      </w:r>
    </w:p>
    <w:p>
      <w:pPr>
        <w:spacing w:after="0" w:line="241"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product candidates.</w:t>
      </w:r>
    </w:p>
    <w:p>
      <w:pPr>
        <w:spacing w:after="0" w:line="169" w:lineRule="exact"/>
        <w:rPr>
          <w:sz w:val="20"/>
          <w:szCs w:val="20"/>
          <w:color w:val="auto"/>
        </w:rPr>
      </w:pPr>
    </w:p>
    <w:p>
      <w:pPr>
        <w:ind w:right="20"/>
        <w:spacing w:after="0" w:line="279" w:lineRule="auto"/>
        <w:rPr>
          <w:sz w:val="20"/>
          <w:szCs w:val="20"/>
          <w:color w:val="auto"/>
        </w:rPr>
      </w:pPr>
      <w:r>
        <w:rPr>
          <w:rFonts w:ascii="Arial" w:cs="Arial" w:eastAsia="Arial" w:hAnsi="Arial"/>
          <w:sz w:val="20"/>
          <w:szCs w:val="20"/>
          <w:color w:val="auto"/>
        </w:rPr>
        <w:t xml:space="preserve">The U.S. Supreme Court’s June 2024 decision in </w:t>
      </w:r>
      <w:r>
        <w:rPr>
          <w:rFonts w:ascii="Arial" w:cs="Arial" w:eastAsia="Arial" w:hAnsi="Arial"/>
          <w:sz w:val="20"/>
          <w:szCs w:val="20"/>
          <w:b w:val="1"/>
          <w:bCs w:val="1"/>
          <w:i w:val="1"/>
          <w:iCs w:val="1"/>
          <w:color w:val="auto"/>
        </w:rPr>
        <w:t>Loper Bright Enterprises v. Raimondo</w:t>
      </w:r>
      <w:r>
        <w:rPr>
          <w:rFonts w:ascii="Arial" w:cs="Arial" w:eastAsia="Arial" w:hAnsi="Arial"/>
          <w:sz w:val="20"/>
          <w:szCs w:val="20"/>
          <w:color w:val="auto"/>
        </w:rPr>
        <w:t xml:space="preserve"> overturned the longstanding </w:t>
      </w:r>
      <w:r>
        <w:rPr>
          <w:rFonts w:ascii="Arial" w:cs="Arial" w:eastAsia="Arial" w:hAnsi="Arial"/>
          <w:sz w:val="20"/>
          <w:szCs w:val="20"/>
          <w:b w:val="1"/>
          <w:bCs w:val="1"/>
          <w:i w:val="1"/>
          <w:iCs w:val="1"/>
          <w:color w:val="auto"/>
        </w:rPr>
        <w:t xml:space="preserve">Chevron </w:t>
      </w:r>
      <w:r>
        <w:rPr>
          <w:rFonts w:ascii="Arial" w:cs="Arial" w:eastAsia="Arial" w:hAnsi="Arial"/>
          <w:sz w:val="20"/>
          <w:szCs w:val="20"/>
          <w:color w:val="auto"/>
        </w:rPr>
        <w:t>doctrine, under which courts were required to give deference to regulatory agencies’ reasonable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interpretations of ambiguous federal statutes. The </w:t>
      </w:r>
      <w:r>
        <w:rPr>
          <w:rFonts w:ascii="Arial" w:cs="Arial" w:eastAsia="Arial" w:hAnsi="Arial"/>
          <w:sz w:val="20"/>
          <w:szCs w:val="20"/>
          <w:b w:val="1"/>
          <w:bCs w:val="1"/>
          <w:i w:val="1"/>
          <w:iCs w:val="1"/>
          <w:color w:val="auto"/>
        </w:rPr>
        <w:t>Loper</w:t>
      </w:r>
      <w:r>
        <w:rPr>
          <w:rFonts w:ascii="Arial" w:cs="Arial" w:eastAsia="Arial" w:hAnsi="Arial"/>
          <w:sz w:val="20"/>
          <w:szCs w:val="20"/>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Arial" w:cs="Arial" w:eastAsia="Arial" w:hAnsi="Arial"/>
          <w:sz w:val="20"/>
          <w:szCs w:val="20"/>
          <w:b w:val="1"/>
          <w:bCs w:val="1"/>
          <w:i w:val="1"/>
          <w:iCs w:val="1"/>
          <w:color w:val="auto"/>
        </w:rPr>
        <w:t>Loper</w:t>
      </w:r>
      <w:r>
        <w:rPr>
          <w:rFonts w:ascii="Arial" w:cs="Arial" w:eastAsia="Arial" w:hAnsi="Arial"/>
          <w:sz w:val="20"/>
          <w:szCs w:val="20"/>
          <w:color w:val="auto"/>
        </w:rPr>
        <w:t xml:space="preserve"> decision may result in increased regulatory uncertainty, inconsistent judicial interpretations, and other impacts to the agency rulemaking process, any of which could adversely impact our business and operations.</w:t>
      </w:r>
    </w:p>
    <w:p>
      <w:pPr>
        <w:sectPr>
          <w:pgSz w:w="11880" w:h="15480" w:orient="portrait"/>
          <w:cols w:equalWidth="0" w:num="1">
            <w:col w:w="10240"/>
          </w:cols>
          <w:pgMar w:left="820" w:top="66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240"/>
          </w:cols>
          <w:pgMar w:left="820" w:top="668" w:right="820" w:bottom="0" w:gutter="0" w:footer="0" w:header="0"/>
          <w:type w:val="continuous"/>
        </w:sectPr>
      </w:pPr>
    </w:p>
    <w:bookmarkStart w:id="74" w:name="page75"/>
    <w:bookmarkEnd w:id="74"/>
    <w:p>
      <w:pPr>
        <w:ind w:right="60"/>
        <w:spacing w:after="0" w:line="306" w:lineRule="auto"/>
        <w:rPr>
          <w:sz w:val="20"/>
          <w:szCs w:val="20"/>
          <w:color w:val="auto"/>
        </w:rPr>
      </w:pPr>
      <w:r>
        <w:rPr>
          <w:rFonts w:ascii="Arial" w:cs="Arial" w:eastAsia="Arial" w:hAnsi="Arial"/>
          <w:sz w:val="19"/>
          <w:szCs w:val="19"/>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b w:val="1"/>
          <w:bCs w:val="1"/>
          <w:i w:val="1"/>
          <w:iCs w:val="1"/>
          <w:color w:val="auto"/>
        </w:rPr>
        <w:t>The FDA and other regulatory agencies actively enforce the laws and regulations prohibiting the promotion of off-label uses.</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In the current administration, the FDA has increased its enforcement scrutiny over prescription drug advertising, particularly direct-to-consumer product promotion and advertising.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 If we cannot successfully manage the promotion of our product candidates, if approved, we could become subject to significant liability, which would materially adversely affect our business and financial condition.</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For more information, please see “Business—Government Regulation—Insurance Coverage and Reimbursement.”</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240"/>
          </w:cols>
          <w:pgMar w:left="820" w:top="678" w:right="820" w:bottom="0" w:gutter="0" w:footer="0" w:header="0"/>
          <w:type w:val="continuous"/>
        </w:sectPr>
      </w:pPr>
    </w:p>
    <w:bookmarkStart w:id="75" w:name="page76"/>
    <w:bookmarkEnd w:id="75"/>
    <w:p>
      <w:pPr>
        <w:ind w:right="20"/>
        <w:spacing w:after="0" w:line="288" w:lineRule="auto"/>
        <w:rPr>
          <w:sz w:val="20"/>
          <w:szCs w:val="20"/>
          <w:color w:val="auto"/>
        </w:rPr>
      </w:pPr>
      <w:r>
        <w:rPr>
          <w:rFonts w:ascii="Arial" w:cs="Arial" w:eastAsia="Arial" w:hAnsi="Arial"/>
          <w:sz w:val="19"/>
          <w:szCs w:val="19"/>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0" w:lineRule="exact"/>
        <w:rPr>
          <w:sz w:val="20"/>
          <w:szCs w:val="20"/>
          <w:color w:val="auto"/>
        </w:rPr>
      </w:pPr>
    </w:p>
    <w:p>
      <w:pPr>
        <w:ind w:right="160"/>
        <w:spacing w:after="0" w:line="271" w:lineRule="auto"/>
        <w:rPr>
          <w:sz w:val="20"/>
          <w:szCs w:val="20"/>
          <w:color w:val="auto"/>
        </w:rPr>
      </w:pPr>
      <w:r>
        <w:rPr>
          <w:rFonts w:ascii="Arial" w:cs="Arial" w:eastAsia="Arial" w:hAnsi="Arial"/>
          <w:sz w:val="22"/>
          <w:szCs w:val="22"/>
          <w:color w:val="auto"/>
        </w:rPr>
        <w:t>Reimbursement by a third-party payor may depend upon a number of factors, including, but not limited to, the third-party payor’s determination that use of a product is:</w:t>
      </w:r>
    </w:p>
    <w:p>
      <w:pPr>
        <w:spacing w:after="0" w:line="64" w:lineRule="exact"/>
        <w:rPr>
          <w:sz w:val="20"/>
          <w:szCs w:val="20"/>
          <w:color w:val="auto"/>
        </w:rPr>
      </w:pPr>
    </w:p>
    <w:p>
      <w:pPr>
        <w:ind w:left="360" w:hanging="356"/>
        <w:spacing w:after="0"/>
        <w:tabs>
          <w:tab w:leader="none" w:pos="3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covered benefit under its health plan;</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safe, effective and medically necessary;</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appropriate for the specific patient;</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cost-effective; and</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neither experimental nor investigational.</w:t>
      </w: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220"/>
          </w:cols>
          <w:pgMar w:left="820" w:top="678" w:right="840" w:bottom="0" w:gutter="0" w:footer="0" w:header="0"/>
          <w:type w:val="continuous"/>
        </w:sectPr>
      </w:pPr>
    </w:p>
    <w:bookmarkStart w:id="76" w:name="page77"/>
    <w:bookmarkEnd w:id="76"/>
    <w:p>
      <w:pPr>
        <w:spacing w:after="0" w:line="287" w:lineRule="auto"/>
        <w:rPr>
          <w:sz w:val="20"/>
          <w:szCs w:val="20"/>
          <w:color w:val="auto"/>
        </w:rPr>
      </w:pPr>
      <w:r>
        <w:rPr>
          <w:rFonts w:ascii="Arial" w:cs="Arial" w:eastAsia="Arial" w:hAnsi="Arial"/>
          <w:sz w:val="19"/>
          <w:szCs w:val="19"/>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6"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2" w:lineRule="exact"/>
        <w:rPr>
          <w:sz w:val="20"/>
          <w:szCs w:val="20"/>
          <w:color w:val="auto"/>
        </w:rPr>
      </w:pPr>
    </w:p>
    <w:p>
      <w:pPr>
        <w:ind w:right="100"/>
        <w:spacing w:after="0" w:line="258" w:lineRule="auto"/>
        <w:rPr>
          <w:sz w:val="20"/>
          <w:szCs w:val="20"/>
          <w:color w:val="auto"/>
        </w:rPr>
      </w:pPr>
      <w:r>
        <w:rPr>
          <w:rFonts w:ascii="Arial" w:cs="Arial" w:eastAsia="Arial" w:hAnsi="Arial"/>
          <w:sz w:val="22"/>
          <w:szCs w:val="22"/>
          <w:color w:val="auto"/>
        </w:rPr>
        <w:t>Medicare reimbursement methodologies, whether under Part A, Part B, or clinical laboratory fee schedule may be amended from time to time, and we cannot predict what effect any change to these methodologies would have on any product candidate for which we receive approval.</w:t>
      </w:r>
    </w:p>
    <w:p>
      <w:pPr>
        <w:spacing w:after="0" w:line="186" w:lineRule="exact"/>
        <w:rPr>
          <w:sz w:val="20"/>
          <w:szCs w:val="20"/>
          <w:color w:val="auto"/>
        </w:rPr>
      </w:pPr>
    </w:p>
    <w:p>
      <w:pPr>
        <w:ind w:right="500"/>
        <w:spacing w:after="0" w:line="276" w:lineRule="auto"/>
        <w:rPr>
          <w:sz w:val="20"/>
          <w:szCs w:val="20"/>
          <w:color w:val="auto"/>
        </w:rPr>
      </w:pPr>
      <w:r>
        <w:rPr>
          <w:rFonts w:ascii="Arial" w:cs="Arial" w:eastAsia="Arial" w:hAnsi="Arial"/>
          <w:sz w:val="22"/>
          <w:szCs w:val="22"/>
          <w:b w:val="1"/>
          <w:bCs w:val="1"/>
          <w:i w:val="1"/>
          <w:iCs w:val="1"/>
          <w:color w:val="auto"/>
        </w:rPr>
        <w:t>Healthcare legislative measures aimed at reducing healthcare costs may have a material adverse effect on our business and results of operations.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240"/>
          </w:cols>
          <w:pgMar w:left="820" w:top="678" w:right="820" w:bottom="0" w:gutter="0" w:footer="0" w:header="0"/>
          <w:type w:val="continuous"/>
        </w:sectPr>
      </w:pPr>
    </w:p>
    <w:bookmarkStart w:id="77" w:name="page78"/>
    <w:bookmarkEnd w:id="77"/>
    <w:p>
      <w:pPr>
        <w:spacing w:after="0" w:line="276" w:lineRule="auto"/>
        <w:rPr>
          <w:sz w:val="20"/>
          <w:szCs w:val="20"/>
          <w:color w:val="auto"/>
        </w:rPr>
      </w:pPr>
      <w:r>
        <w:rPr>
          <w:rFonts w:ascii="Arial" w:cs="Arial" w:eastAsia="Arial" w:hAnsi="Arial"/>
          <w:sz w:val="20"/>
          <w:szCs w:val="20"/>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please see “Business—Government Regulation—Current and Future Healthcare Reform Legislation.”</w:t>
      </w:r>
    </w:p>
    <w:p>
      <w:pPr>
        <w:spacing w:after="0" w:line="183" w:lineRule="exact"/>
        <w:rPr>
          <w:sz w:val="20"/>
          <w:szCs w:val="20"/>
          <w:color w:val="auto"/>
        </w:rPr>
      </w:pPr>
    </w:p>
    <w:p>
      <w:pPr>
        <w:ind w:right="100"/>
        <w:spacing w:after="0" w:line="254" w:lineRule="auto"/>
        <w:rPr>
          <w:sz w:val="20"/>
          <w:szCs w:val="20"/>
          <w:color w:val="auto"/>
        </w:rPr>
      </w:pPr>
      <w:r>
        <w:rPr>
          <w:rFonts w:ascii="Arial" w:cs="Arial" w:eastAsia="Arial" w:hAnsi="Arial"/>
          <w:sz w:val="22"/>
          <w:szCs w:val="22"/>
          <w:color w:val="auto"/>
        </w:rPr>
        <w:t>In the United States, there have been and continue to be a number of legislative initiatives to contain healthcare costs. For example, on July 9, 2021, President Biden issued an executive order directing the FDA to, among other things, continue to clarify and improve the approval framework for generic drugs and identify and address any efforts to impede generic drug competition.</w:t>
      </w:r>
    </w:p>
    <w:p>
      <w:pPr>
        <w:spacing w:after="0" w:line="199"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color w:val="auto"/>
        </w:rPr>
        <w:t>Further,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2"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0"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6"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89" w:lineRule="exact"/>
        <w:rPr>
          <w:sz w:val="20"/>
          <w:szCs w:val="20"/>
          <w:color w:val="auto"/>
        </w:rPr>
      </w:pPr>
    </w:p>
    <w:p>
      <w:pPr>
        <w:ind w:left="720" w:hanging="363"/>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demand for our product candidates, if we obtain regulatory approval;</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our ability to set a price that we believe is fair for our products;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our ability to obtain coverage and reimbursement approval for a product;</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our ability to generate revenue and achieve or maintain profitability;</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level of taxes that we are required to pay; and</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availability of capital.</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240"/>
          </w:cols>
          <w:pgMar w:left="820" w:top="678" w:right="820" w:bottom="0" w:gutter="0" w:footer="0" w:header="0"/>
          <w:type w:val="continuous"/>
        </w:sectPr>
      </w:pPr>
    </w:p>
    <w:bookmarkStart w:id="78" w:name="page79"/>
    <w:bookmarkEnd w:id="78"/>
    <w:p>
      <w:pPr>
        <w:ind w:right="340"/>
        <w:spacing w:after="0" w:line="271" w:lineRule="auto"/>
        <w:rPr>
          <w:sz w:val="20"/>
          <w:szCs w:val="20"/>
          <w:color w:val="auto"/>
        </w:rPr>
      </w:pPr>
      <w:r>
        <w:rPr>
          <w:rFonts w:ascii="Arial" w:cs="Arial" w:eastAsia="Arial" w:hAnsi="Arial"/>
          <w:sz w:val="22"/>
          <w:szCs w:val="22"/>
          <w:color w:val="auto"/>
        </w:rPr>
        <w:t>Any reduction in reimbursement from Medicare or other government programs may result in a similar reduction in payments from private payors, which may adversely affect our future profitability.</w:t>
      </w:r>
    </w:p>
    <w:p>
      <w:pPr>
        <w:spacing w:after="0" w:line="172"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b w:val="1"/>
          <w:bCs w:val="1"/>
          <w:i w:val="1"/>
          <w:iCs w:val="1"/>
          <w:color w:val="auto"/>
        </w:rPr>
        <w:t>Disruptions at the FDA, the SEC and other U.S. government agencies or comparable foreign regulatory authorities caused by reductions in staffing or funding shortages could hinder their ability to hire and retain key leadership and other personnel, prevent new products and services from being developed or commercialized in a timely manner or at all, or otherwise prevent those agencies from performing normal business functions on which the operation of our business may rely, which could negatively impact our business.</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Federal agencies in the U.S., including the FDA, the SEC and other comparable regulatory authorities, operate pursuant to annual appropriations and other political and budgetary processes, and may from time to time be subject to continuing resolutions, funding lapses, or other fiscal constraints. The FDA is currently funded through September 30, 2026. Without appropriation of sufficient funding to federal agencies, our business operations related to our product development activities for the U.S. market could be impacted. The ability of the FDA and other comparable regulatory authorities to review and approve new products can be affected by a variety of factors, including government budget and funding levels (including due to the government shutdown), the FDA’s or other comparable regulatory authorities’ ability to hire and retain key personnel and accept the payment of user fees, availability of personnel and other resources, and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of these factors.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SEC and U.S. Patent and Trademark Office (USPTO). Any such reduction in personnel may result in longer review times by the FDA and other agencies.</w:t>
      </w:r>
    </w:p>
    <w:p>
      <w:pPr>
        <w:spacing w:after="0" w:line="173" w:lineRule="exact"/>
        <w:rPr>
          <w:sz w:val="20"/>
          <w:szCs w:val="20"/>
          <w:color w:val="auto"/>
        </w:rPr>
      </w:pPr>
    </w:p>
    <w:p>
      <w:pPr>
        <w:ind w:right="80"/>
        <w:spacing w:after="0" w:line="254" w:lineRule="auto"/>
        <w:rPr>
          <w:sz w:val="20"/>
          <w:szCs w:val="20"/>
          <w:color w:val="auto"/>
        </w:rPr>
      </w:pPr>
      <w:r>
        <w:rPr>
          <w:rFonts w:ascii="Arial" w:cs="Arial" w:eastAsia="Arial" w:hAnsi="Arial"/>
          <w:sz w:val="22"/>
          <w:szCs w:val="22"/>
          <w:color w:val="auto"/>
        </w:rPr>
        <w:t>Disruptions and personnel turnover, as a result of leadership changes, staff reductions or otherwise, at the FDA, the SEC, the USPTO and other government agencies or comparable foreign regulatory authorities may also slow the time necessary for new drugs to be reviewed and/or approved by necessary government agencies, which would adversely affect our business.</w:t>
      </w:r>
    </w:p>
    <w:p>
      <w:pPr>
        <w:spacing w:after="0" w:line="199"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There is also substantial uncertainty as to the extent and manner in which regulatory reform measures being implemented by the current U.S. administration, and other political developments, such as government shutdowns or work stoppages, would impact other U.S. regulatory agencies, such as the FDA, SEC and USPTO, on which our operations rely. For example, over the last several years, including from October 1, 2025 to November 12, 2025, the U.S. government has shut down several times and certain regulatory agencies, such as the FDA and the SEC, have had to furlough critical employees and stop critical activities. If a prolonged government shutdown occurs again in the future, or if funding shortages or staffing limitations hinder or prevent the FDA, the SEC or other regulatory authorities from conducting their regulatory inspections, reviews or other regulatory activities, including formal or informal interactions with product developers, it could significantly impact the ability of the FDA or other such regulatory authorities to timely review and process any submissions we have filed or may file or cause other regulatory delays, which could have a material adverse effect on our business. Additionally, disruptions at the National Institutes of Health or changes to its budget may negatively impact our operations and ongoing clinical trials. Further, in our operations as a public company,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240"/>
          </w:cols>
          <w:pgMar w:left="820" w:top="678" w:right="820" w:bottom="0" w:gutter="0" w:footer="0" w:header="0"/>
          <w:type w:val="continuous"/>
        </w:sectPr>
      </w:pPr>
    </w:p>
    <w:bookmarkStart w:id="79" w:name="page80"/>
    <w:bookmarkEnd w:id="79"/>
    <w:p>
      <w:pPr>
        <w:spacing w:after="0" w:line="358" w:lineRule="auto"/>
        <w:rPr>
          <w:sz w:val="20"/>
          <w:szCs w:val="20"/>
          <w:color w:val="auto"/>
        </w:rPr>
      </w:pPr>
      <w:r>
        <w:rPr>
          <w:rFonts w:ascii="Arial" w:cs="Arial" w:eastAsia="Arial" w:hAnsi="Arial"/>
          <w:sz w:val="19"/>
          <w:szCs w:val="19"/>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10" w:lineRule="exact"/>
        <w:rPr>
          <w:sz w:val="20"/>
          <w:szCs w:val="20"/>
          <w:color w:val="auto"/>
        </w:rPr>
      </w:pPr>
    </w:p>
    <w:p>
      <w:pPr>
        <w:ind w:right="120"/>
        <w:spacing w:after="0" w:line="273" w:lineRule="auto"/>
        <w:rPr>
          <w:sz w:val="20"/>
          <w:szCs w:val="20"/>
          <w:color w:val="auto"/>
        </w:rPr>
      </w:pPr>
      <w:r>
        <w:rPr>
          <w:rFonts w:ascii="Arial" w:cs="Arial" w:eastAsia="Arial" w:hAnsi="Arial"/>
          <w:sz w:val="20"/>
          <w:szCs w:val="20"/>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please see “Business—Government Regulation—Other Healthcare and Privacy Laws.”</w:t>
      </w:r>
    </w:p>
    <w:p>
      <w:pPr>
        <w:spacing w:after="0" w:line="183" w:lineRule="exact"/>
        <w:rPr>
          <w:sz w:val="20"/>
          <w:szCs w:val="20"/>
          <w:color w:val="auto"/>
        </w:rPr>
      </w:pPr>
    </w:p>
    <w:p>
      <w:pPr>
        <w:ind w:right="240"/>
        <w:spacing w:after="0" w:line="306" w:lineRule="auto"/>
        <w:rPr>
          <w:sz w:val="20"/>
          <w:szCs w:val="20"/>
          <w:color w:val="auto"/>
        </w:rPr>
      </w:pPr>
      <w:r>
        <w:rPr>
          <w:rFonts w:ascii="Arial" w:cs="Arial" w:eastAsia="Arial" w:hAnsi="Arial"/>
          <w:sz w:val="19"/>
          <w:szCs w:val="19"/>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56"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we may be required to curtail or restructure our operations, any of which could adversely affect our ability to operate our business and our results of operations.</w:t>
      </w:r>
    </w:p>
    <w:p>
      <w:pPr>
        <w:spacing w:after="0" w:line="185" w:lineRule="exact"/>
        <w:rPr>
          <w:sz w:val="20"/>
          <w:szCs w:val="20"/>
          <w:color w:val="auto"/>
        </w:rPr>
      </w:pPr>
    </w:p>
    <w:p>
      <w:pPr>
        <w:ind w:right="180"/>
        <w:spacing w:after="0" w:line="283" w:lineRule="auto"/>
        <w:rPr>
          <w:sz w:val="20"/>
          <w:szCs w:val="20"/>
          <w:color w:val="auto"/>
        </w:rPr>
      </w:pPr>
      <w:r>
        <w:rPr>
          <w:rFonts w:ascii="Arial" w:cs="Arial" w:eastAsia="Arial" w:hAnsi="Arial"/>
          <w:sz w:val="20"/>
          <w:szCs w:val="20"/>
          <w:color w:val="auto"/>
        </w:rPr>
        <w:t>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220"/>
          </w:cols>
          <w:pgMar w:left="820" w:top="668" w:right="840" w:bottom="0" w:gutter="0" w:footer="0" w:header="0"/>
          <w:type w:val="continuous"/>
        </w:sectPr>
      </w:pPr>
    </w:p>
    <w:bookmarkStart w:id="80" w:name="page81"/>
    <w:bookmarkEnd w:id="80"/>
    <w:p>
      <w:pPr>
        <w:ind w:right="40"/>
        <w:spacing w:after="0" w:line="275" w:lineRule="auto"/>
        <w:rPr>
          <w:sz w:val="20"/>
          <w:szCs w:val="20"/>
          <w:color w:val="auto"/>
        </w:rPr>
      </w:pPr>
      <w:r>
        <w:rPr>
          <w:rFonts w:ascii="Arial" w:cs="Arial" w:eastAsia="Arial" w:hAnsi="Arial"/>
          <w:sz w:val="20"/>
          <w:szCs w:val="20"/>
          <w:color w:val="auto"/>
        </w:rPr>
        <w:t>The provision of benefits or advantages to physicians to induce or encourage the prescription, recommendation, endorsement, purchase, supply, order or use of medicinal products is also prohibited in the EU. The provision of benefits or advantages to reward improper performance generally is typically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 Payments made to physicians in certain EU Member States must be publicly disclosed.</w:t>
      </w:r>
    </w:p>
    <w:p>
      <w:pPr>
        <w:spacing w:after="0" w:line="187" w:lineRule="exact"/>
        <w:rPr>
          <w:sz w:val="20"/>
          <w:szCs w:val="20"/>
          <w:color w:val="auto"/>
        </w:rPr>
      </w:pPr>
    </w:p>
    <w:p>
      <w:pPr>
        <w:ind w:right="140"/>
        <w:spacing w:after="0" w:line="258" w:lineRule="auto"/>
        <w:rPr>
          <w:sz w:val="20"/>
          <w:szCs w:val="20"/>
          <w:color w:val="auto"/>
        </w:rPr>
      </w:pPr>
      <w:r>
        <w:rPr>
          <w:rFonts w:ascii="Arial" w:cs="Arial" w:eastAsia="Arial" w:hAnsi="Arial"/>
          <w:sz w:val="22"/>
          <w:szCs w:val="22"/>
          <w:color w:val="auto"/>
        </w:rPr>
        <w:t>Moreover, agreements with physicians often must be the subject of prior notification and approval by the physician’s employer, his or her competent professional organization and/or the regulatory authorities of the individual EU Member States.</w:t>
      </w:r>
    </w:p>
    <w:p>
      <w:pPr>
        <w:spacing w:after="0" w:line="196" w:lineRule="exact"/>
        <w:rPr>
          <w:sz w:val="20"/>
          <w:szCs w:val="20"/>
          <w:color w:val="auto"/>
        </w:rPr>
      </w:pPr>
    </w:p>
    <w:p>
      <w:pPr>
        <w:ind w:right="240"/>
        <w:spacing w:after="0" w:line="271" w:lineRule="auto"/>
        <w:rPr>
          <w:sz w:val="20"/>
          <w:szCs w:val="20"/>
          <w:color w:val="auto"/>
        </w:rPr>
      </w:pPr>
      <w:r>
        <w:rPr>
          <w:rFonts w:ascii="Arial" w:cs="Arial" w:eastAsia="Arial" w:hAnsi="Arial"/>
          <w:sz w:val="22"/>
          <w:szCs w:val="22"/>
          <w:color w:val="auto"/>
        </w:rPr>
        <w:t>These requirements are provided in the national laws, industry codes or professional codes of conduct, applicable in the EU Member States.</w:t>
      </w:r>
    </w:p>
    <w:p>
      <w:pPr>
        <w:spacing w:after="0" w:line="181" w:lineRule="exact"/>
        <w:rPr>
          <w:sz w:val="20"/>
          <w:szCs w:val="20"/>
          <w:color w:val="auto"/>
        </w:rPr>
      </w:pPr>
    </w:p>
    <w:p>
      <w:pPr>
        <w:ind w:right="820"/>
        <w:spacing w:after="0" w:line="271" w:lineRule="auto"/>
        <w:rPr>
          <w:sz w:val="20"/>
          <w:szCs w:val="20"/>
          <w:color w:val="auto"/>
        </w:rPr>
      </w:pPr>
      <w:r>
        <w:rPr>
          <w:rFonts w:ascii="Arial" w:cs="Arial" w:eastAsia="Arial" w:hAnsi="Arial"/>
          <w:sz w:val="22"/>
          <w:szCs w:val="22"/>
          <w:color w:val="auto"/>
        </w:rPr>
        <w:t>Failure to comply with these requirements could result in reputational risk, public reprimands, administrative penalties, fines or imprisonment.</w:t>
      </w:r>
    </w:p>
    <w:p>
      <w:pPr>
        <w:spacing w:after="0" w:line="172" w:lineRule="exact"/>
        <w:rPr>
          <w:sz w:val="20"/>
          <w:szCs w:val="20"/>
          <w:color w:val="auto"/>
        </w:rPr>
      </w:pPr>
    </w:p>
    <w:p>
      <w:pPr>
        <w:ind w:right="200"/>
        <w:spacing w:after="0" w:line="358" w:lineRule="auto"/>
        <w:rPr>
          <w:sz w:val="20"/>
          <w:szCs w:val="20"/>
          <w:color w:val="auto"/>
        </w:rPr>
      </w:pPr>
      <w:r>
        <w:rPr>
          <w:rFonts w:ascii="Arial" w:cs="Arial" w:eastAsia="Arial" w:hAnsi="Arial"/>
          <w:sz w:val="19"/>
          <w:szCs w:val="19"/>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10" w:lineRule="exact"/>
        <w:rPr>
          <w:sz w:val="20"/>
          <w:szCs w:val="20"/>
          <w:color w:val="auto"/>
        </w:rPr>
      </w:pPr>
    </w:p>
    <w:p>
      <w:pPr>
        <w:ind w:right="100"/>
        <w:spacing w:after="0" w:line="266" w:lineRule="auto"/>
        <w:rPr>
          <w:sz w:val="20"/>
          <w:szCs w:val="20"/>
          <w:color w:val="auto"/>
        </w:rPr>
      </w:pPr>
      <w:r>
        <w:rPr>
          <w:rFonts w:ascii="Arial" w:cs="Arial" w:eastAsia="Arial" w:hAnsi="Arial"/>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protecting our intellectual property</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22"/>
          <w:szCs w:val="22"/>
          <w:b w:val="1"/>
          <w:bCs w:val="1"/>
          <w:i w:val="1"/>
          <w:iCs w:val="1"/>
          <w:color w:val="auto"/>
        </w:rPr>
        <w:t>If we or any of our licensees are unable to obtain and maintain patent and other intellectual property protection for silevertinib, BDTX-4933, BDTX-4876, and our other product candidates and technology, or any other product candidates or technology we may develop, or if the scope of intellectual property protection obtained is not sufficiently broad, our competitors could develop and commercialize products and technology similar or identical to ours, and our ability to commercialize any of our future product candidates or technology may be adversely affected.</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240"/>
          </w:cols>
          <w:pgMar w:left="820" w:top="678" w:right="820" w:bottom="0" w:gutter="0" w:footer="0" w:header="0"/>
          <w:type w:val="continuous"/>
        </w:sectPr>
      </w:pPr>
    </w:p>
    <w:bookmarkStart w:id="81" w:name="page82"/>
    <w:bookmarkEnd w:id="81"/>
    <w:p>
      <w:pPr>
        <w:ind w:right="140"/>
        <w:spacing w:after="0" w:line="278" w:lineRule="auto"/>
        <w:rPr>
          <w:sz w:val="20"/>
          <w:szCs w:val="20"/>
          <w:color w:val="auto"/>
        </w:rPr>
      </w:pPr>
      <w:r>
        <w:rPr>
          <w:rFonts w:ascii="Arial" w:cs="Arial" w:eastAsia="Arial" w:hAnsi="Arial"/>
          <w:sz w:val="20"/>
          <w:szCs w:val="20"/>
          <w:color w:val="auto"/>
        </w:rPr>
        <w:t>Our success depends in large part on the ability to obtain and maintain patent and other intellectual property protection in the United States and other countries with respect to our product candidates, including silevertinib, BDTX-4933, BDTX-4876, their respective components, formulations, combination therapies, methods used to manufacture them and methods of treatment and development that are important to our business, as well as successfully defending these patents against third-party challenges. If we or our licensees do not adequately protect our intellectual property rights, competitors may be able to erode or negate any competitive advantage we may have, which could harm our business and ability to achieve profitability.</w:t>
      </w:r>
    </w:p>
    <w:p>
      <w:pPr>
        <w:spacing w:after="0" w:line="182"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We intend to rely upon a combination of patent applications, confidentiality agreements, trade secret protection and license agreements to protect the intellectual property related to our product candidates and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establish our patent position.</w:t>
      </w:r>
    </w:p>
    <w:p>
      <w:pPr>
        <w:spacing w:after="0" w:line="182"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auto"/>
        </w:rPr>
        <w:t>To protect our proprietary position, we plan to file patent applications in the United States and abroad relating to our product candidates that are important to our business; we may in the future also license or purchase patents or patent applications owned by others. Our ability to stop unauthorized third parties from making, using, selling, offering to sell or importing our product candidates is dependent upon the extent to which we have rights under valid and enforceable patents or trade secrets that cover these activities. If we or any licensees are unable to secure or maintain patent protection with respect to silevertinib, BDTX-4933, BDTX-4876, or any other proprietary products and technology we develop, our business, financial condition, results of operations, and prospects would be materially harmed.</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The U.S. provisional patent applications, the U.S. patent applications, or the PCT patent applications, and the foreign patent applications currently owned by us may never result in an issued patent. The U.S. provisional patent applications may not be eligible to become an issued patent until, among other things, we convert the U.S. provisional patent applications to one or more non-provisional patent applications within 12 months. If we or any licensees do not timely convert the U.S. provisional patent applications to any non-provisional application, we may lose our priority date with respect to our U.S. provisional patent applications and any patent protection on the inventions disclosed in such U.S. provisional patent applications. The pending PCT patent application is not eligible to become an issued patent until, among other things, we file a national stage patent application within 30 months in the countries in which we seek patent protection. If we or any licensees do not timely file any national stage patent applications, we may lose our priority date with respect to our PCT patent application and any patent protection on the inventions disclosed in such PCT patent application. While we intend to timely convert the U.S. provisional patent applications to one or more non-provisional patent applications and to timely file a national stage patent application relating to our PCT patent application, we cannot predict whether any of our future patent applications for silevertinib, BDTX-4933, BDTX-4876, or any of our other product candidates will result in the issuance of patents that effectively protect silevertinib, BDTX-4933, BDTX-4876, or our other product candidates. If we or any licensees do not successfully obtain patent protection, or, even if we or any licensees do obtain patent protection, if the scope of the patent protection we or our licensees obtain with respect to silevertinib, BDTX-4933, BDTX-4876, or our other product candidates and technology is not sufficiently broad, we will be unable to prevent others from using our technology or from developing or commercializing technology and products similar or identical to ours or other competing products and technologies. Any failure to obtain or maintain patent protection with respect to silevertinib, BDTX-4933, BDTX-4876, and our other product candidates would have a material adverse effect on our business, financial condition, results of operations and prospects.</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200"/>
          </w:cols>
          <w:pgMar w:left="820" w:top="678" w:right="860" w:bottom="0" w:gutter="0" w:footer="0" w:header="0"/>
          <w:type w:val="continuous"/>
        </w:sectPr>
      </w:pPr>
    </w:p>
    <w:bookmarkStart w:id="82" w:name="page83"/>
    <w:bookmarkEnd w:id="82"/>
    <w:p>
      <w:pPr>
        <w:ind w:right="40"/>
        <w:spacing w:after="0" w:line="274" w:lineRule="auto"/>
        <w:rPr>
          <w:sz w:val="20"/>
          <w:szCs w:val="20"/>
          <w:color w:val="auto"/>
        </w:rPr>
      </w:pPr>
      <w:r>
        <w:rPr>
          <w:rFonts w:ascii="Arial" w:cs="Arial" w:eastAsia="Arial" w:hAnsi="Arial"/>
          <w:sz w:val="20"/>
          <w:szCs w:val="20"/>
          <w:color w:val="auto"/>
        </w:rPr>
        <w:t>The degree of patent protection we require to successfully compete in the marketplace may be unavailable or severely limited in some cases and may not adequately protect our rights or permit us to gain or keep any competitive advantage. We cannot provide any assurances that any patents we may own or in-license in the future will have, or that any of our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assure you that those licenses will remain in force. In addition, the laws of foreign countries may not protect our rights to the same extent as the laws of the United States. Furthermore, patents have a limited lifespan, and the term of any patents we may own or in-license in the future may be inadequate to protect our competitive position of our product candidates or technology for an adequate amount of time. In the United States, the natural expiration of a patent is generally 20 years after the non-provisional application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Even if they are unchallenged, our patent applications, if issued, and any patents we may own or in-license in the future, may not provide us with any meaningful protection or prevent competitors from designing around our patent claims to circumvent any patents we may own or in-license in the future by developing similar or alternative technologies or therapeutics in a non-infringing manner. For example, a third-party may develop a competitive therapy that provides benefits similar to one or more of our product candidates but that uses a formulation and/or a device that falls outside the scope of any patent protection we may have in the future. If the patent protection provided by our patent applications or any patents we may pursue with respect to our product candidates is not sufficiently broad to impede such competition, our ability to successfully commercialize our product candidates could be negatively affected, which would harm our business. Although we currently own our patent applications, similar risks would apply to any patents or patent applications that we may own or in-license in the future.</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Patent positions of life sciences companies can be uncertain and involve complex factual and legal questions.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 applications or any patents we may own or in-license in the future.</w:t>
      </w:r>
    </w:p>
    <w:p>
      <w:pPr>
        <w:spacing w:after="0" w:line="206"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The patent prosecution process is complex, expensive, time-consuming and inconsistent across jurisdictions. Patent license negotiations also can be complex and protracted, with uncertain results. We or any licensees may not be able to file, prosecute, maintain, enforce, or license all necessary or desirable patent rights at a commercially reasonable cost or in a timely manner. In addition, we or any licensees may not pursue or obtain patent protection in all relevant markets. It is possible that we or any licensees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corporate collaborators, external academic scientific collaborators, CROs, contract manufacturers, consultants, advisors and other third parties, any of these parties may breach the agreements and disclose results before a patent application is filed, thereby endangering our ability to seek patent protection. In addition, publications of discoveries in the scientific and scholarly literature often lag behind the actual discoveries, and patent applications in the United States and other jurisdictions are typically not published until 18 months after filing, or in some cases not at all. Consequently, we cannot be certain that we were the first to file for patent protection on the inventions claimed in our patent applications.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220"/>
          </w:cols>
          <w:pgMar w:left="820" w:top="678" w:right="840" w:bottom="0" w:gutter="0" w:footer="0" w:header="0"/>
          <w:type w:val="continuous"/>
        </w:sectPr>
      </w:pPr>
    </w:p>
    <w:bookmarkStart w:id="83" w:name="page84"/>
    <w:bookmarkEnd w:id="83"/>
    <w:p>
      <w:pPr>
        <w:ind w:right="20"/>
        <w:spacing w:after="0" w:line="275" w:lineRule="auto"/>
        <w:rPr>
          <w:sz w:val="20"/>
          <w:szCs w:val="20"/>
          <w:color w:val="auto"/>
        </w:rPr>
      </w:pPr>
      <w:r>
        <w:rPr>
          <w:rFonts w:ascii="Arial" w:cs="Arial" w:eastAsia="Arial" w:hAnsi="Arial"/>
          <w:sz w:val="20"/>
          <w:szCs w:val="20"/>
          <w:color w:val="auto"/>
        </w:rPr>
        <w:t>It is possible that defects of form in the preparation or filing of our patent applications, or any patents we may own or in-license in the future,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 applications or patents we may own or in-license in the future,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Additionally, we cannot be certain that the claims in our patent applications covering composition of matter of our product candidates or technology will be considered patentable by the USPTO, or by patent offices in foreign countries, or that the claims in any issued patents we may own or in-license in the future will be considered patentable by courts in the United States or foreign countries.</w:t>
      </w:r>
    </w:p>
    <w:p>
      <w:pPr>
        <w:spacing w:after="0" w:line="19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induce or contribute to the infringement of method of use patents, the practice is common and such infringement is difficult to prevent or prosecute.</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any rights we may have from our patent applications are highly uncertain. Our patent applications may not result in patents being issued in the United States or in other jurisdictions which protect our technology or products or which effectively prevent others from commercializing competitive technologies and products. Moreover, 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Even if our patent applications issue as patents, third parties could challenge the validity of such patents based on such scientific publications and we could potentially lose valuable patent rights. Further, the scope of the invention claimed in a patent application can be significantly reduced before the patent is issued, and this scope can be reinterpreted after issuance. Even where patent applications we currently own or that we may license in the future issue as patents, they may not issue in a form that will provide us with any meaningful protection,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any rights we may have from our patent applications by developing new compounds or alternative technologies or products in a non-infringing manner.</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240"/>
          </w:cols>
          <w:pgMar w:left="820" w:top="678" w:right="820" w:bottom="0" w:gutter="0" w:footer="0" w:header="0"/>
          <w:type w:val="continuous"/>
        </w:sectPr>
      </w:pPr>
    </w:p>
    <w:bookmarkStart w:id="84" w:name="page85"/>
    <w:bookmarkEnd w:id="84"/>
    <w:p>
      <w:pPr>
        <w:spacing w:after="0" w:line="273" w:lineRule="auto"/>
        <w:rPr>
          <w:sz w:val="20"/>
          <w:szCs w:val="20"/>
          <w:color w:val="auto"/>
        </w:rPr>
      </w:pPr>
      <w:r>
        <w:rPr>
          <w:rFonts w:ascii="Arial" w:cs="Arial" w:eastAsia="Arial" w:hAnsi="Arial"/>
          <w:sz w:val="20"/>
          <w:szCs w:val="20"/>
          <w:color w:val="auto"/>
        </w:rPr>
        <w:t>The issuance or grant of a patent is not irrefutable as to its inventorship, scope, validity or enforceability, and any patents we may own or in-license in the future may be challenged in the courts or patent offices in the United States and abroad. Such challenges may result in the patent claims of any patents we may own or in-license being narrowed, invalidated or held unenforceable, which could limit our ability to stop or prevent us from stopping others from using or commercializing similar or identical technology and products, or limit the duration of the patent protection of our technology and products.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inter partes review, or interference proceeding and other similar proceedings challenging any rights we may have from our patent applications or the patent rights of others in the U.S. Patent and Trademark Office, or USPTO, or other foreign patent office, or in declaratory judgment actions or counterclaims. An unfavorable determination in any such submission, proceeding or litigation could reduce the scope of, or invalidate, any rights we may have from our patent applications, allow third parties to commercialize our technology or products and compete directly with us, without payment to us, or extinguish our ability to manufacture or commercialize products without infringing third-party patent rights.</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99"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Moreover, some of our intellectual property, including any patents we may own or in-license in the future, may be co-owned with third parties. If we are unable to obtain an exclusive license to any such third-party co-owners’ interest in such intellectual property, including patents or patent applications, such co-owners may be able to license their rights to other third parties, including our competitors, and our competitors could market competing products and technology. In addition, we or any licensees or future licensors may need the cooperation of any such co-owners of our owned and in-licensed intellectual property, including patents and patent applications, in order to enforce such intellectual property against third parties, and such cooperation may not be provided to us or any licensees or our future licensors. Any of the foregoing could have a material adverse effect on our competitive position, business, financial conditions, results of operations and prospects.</w:t>
      </w:r>
    </w:p>
    <w:p>
      <w:pPr>
        <w:spacing w:after="0" w:line="183" w:lineRule="exact"/>
        <w:rPr>
          <w:sz w:val="20"/>
          <w:szCs w:val="20"/>
          <w:color w:val="auto"/>
        </w:rPr>
      </w:pPr>
    </w:p>
    <w:p>
      <w:pPr>
        <w:spacing w:after="0" w:line="318" w:lineRule="auto"/>
        <w:rPr>
          <w:sz w:val="20"/>
          <w:szCs w:val="20"/>
          <w:color w:val="auto"/>
        </w:rPr>
      </w:pPr>
      <w:r>
        <w:rPr>
          <w:rFonts w:ascii="Arial" w:cs="Arial" w:eastAsia="Arial" w:hAnsi="Arial"/>
          <w:sz w:val="19"/>
          <w:szCs w:val="19"/>
          <w:color w:val="auto"/>
        </w:rPr>
        <w:t>We are generally also subject to all of the same risks with respect to protection of intellectual property that we license, as we are for intellectual property that we own, which are described below. If we or any licensees or our future licensors fail to adequately protect this intellectual property, our ability to commercialize products could suffer.</w:t>
      </w:r>
    </w:p>
    <w:p>
      <w:pPr>
        <w:spacing w:after="0" w:line="133" w:lineRule="exact"/>
        <w:rPr>
          <w:sz w:val="20"/>
          <w:szCs w:val="20"/>
          <w:color w:val="auto"/>
        </w:rPr>
      </w:pPr>
    </w:p>
    <w:p>
      <w:pPr>
        <w:ind w:right="60"/>
        <w:spacing w:after="0" w:line="299" w:lineRule="auto"/>
        <w:rPr>
          <w:sz w:val="20"/>
          <w:szCs w:val="20"/>
          <w:color w:val="auto"/>
        </w:rPr>
      </w:pPr>
      <w:r>
        <w:rPr>
          <w:rFonts w:ascii="Arial" w:cs="Arial" w:eastAsia="Arial" w:hAnsi="Arial"/>
          <w:sz w:val="20"/>
          <w:szCs w:val="20"/>
          <w:b w:val="1"/>
          <w:bCs w:val="1"/>
          <w:i w:val="1"/>
          <w:iCs w:val="1"/>
          <w:color w:val="auto"/>
        </w:rPr>
        <w:t>If we fail to comply with our obligations in any future agreements under which we may license intellectual property rights from third parties or otherwise experience disruptions to our business relationships with our future licensors, we could lose license rights that are important to our business.</w:t>
      </w:r>
    </w:p>
    <w:p>
      <w:pPr>
        <w:spacing w:after="0" w:line="161" w:lineRule="exact"/>
        <w:rPr>
          <w:sz w:val="20"/>
          <w:szCs w:val="20"/>
          <w:color w:val="auto"/>
        </w:rPr>
      </w:pPr>
    </w:p>
    <w:p>
      <w:pPr>
        <w:ind w:right="180"/>
        <w:spacing w:after="0" w:line="293" w:lineRule="auto"/>
        <w:rPr>
          <w:sz w:val="20"/>
          <w:szCs w:val="20"/>
          <w:color w:val="auto"/>
        </w:rPr>
      </w:pPr>
      <w:r>
        <w:rPr>
          <w:rFonts w:ascii="Arial" w:cs="Arial" w:eastAsia="Arial" w:hAnsi="Arial"/>
          <w:sz w:val="19"/>
          <w:szCs w:val="19"/>
          <w:color w:val="auto"/>
        </w:rPr>
        <w:t>In the future, we may be party to license or collaboration agreements with third parties to advance our research or allow commercialization of product candidates. Such future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future licensors might conclude that we have materially breached our future license agreements and might therefore terminate the license agreements, thereby removing or limiting our ability to develop and commercialize products and technologies covered by these license agreements.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220"/>
          </w:cols>
          <w:pgMar w:left="820" w:top="678" w:right="840" w:bottom="0" w:gutter="0" w:footer="0" w:header="0"/>
          <w:type w:val="continuous"/>
        </w:sectPr>
      </w:pPr>
    </w:p>
    <w:bookmarkStart w:id="85" w:name="page86"/>
    <w:bookmarkEnd w:id="85"/>
    <w:p>
      <w:pPr>
        <w:ind w:right="60"/>
        <w:spacing w:after="0" w:line="280" w:lineRule="auto"/>
        <w:rPr>
          <w:sz w:val="20"/>
          <w:szCs w:val="20"/>
          <w:color w:val="auto"/>
        </w:rPr>
      </w:pPr>
      <w:r>
        <w:rPr>
          <w:rFonts w:ascii="Arial" w:cs="Arial" w:eastAsia="Arial" w:hAnsi="Arial"/>
          <w:sz w:val="20"/>
          <w:szCs w:val="20"/>
          <w:color w:val="auto"/>
        </w:rPr>
        <w:t>Any termination of these licenses, or if the underlying patents fail to provide the intended exclusivity, could result in the loss of significant rights and could harm our ability to commercialize our product candidates, and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right="720"/>
        <w:spacing w:after="0" w:line="271" w:lineRule="auto"/>
        <w:rPr>
          <w:sz w:val="20"/>
          <w:szCs w:val="20"/>
          <w:color w:val="auto"/>
        </w:rPr>
      </w:pPr>
      <w:r>
        <w:rPr>
          <w:rFonts w:ascii="Arial" w:cs="Arial" w:eastAsia="Arial" w:hAnsi="Arial"/>
          <w:sz w:val="22"/>
          <w:szCs w:val="22"/>
          <w:color w:val="auto"/>
        </w:rPr>
        <w:t>Disputes may also arise between us and our future licensors regarding intellectual property subject to a license agreement, including:</w:t>
      </w:r>
    </w:p>
    <w:p>
      <w:pPr>
        <w:spacing w:after="0" w:line="64" w:lineRule="exact"/>
        <w:rPr>
          <w:sz w:val="20"/>
          <w:szCs w:val="20"/>
          <w:color w:val="auto"/>
        </w:rPr>
      </w:pPr>
    </w:p>
    <w:p>
      <w:pPr>
        <w:ind w:left="720" w:hanging="363"/>
        <w:spacing w:after="0"/>
        <w:tabs>
          <w:tab w:leader="none" w:pos="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scope of rights granted under the license agreement and other interpretation-related issues;</w:t>
      </w:r>
    </w:p>
    <w:p>
      <w:pPr>
        <w:spacing w:after="0" w:line="123" w:lineRule="exact"/>
        <w:rPr>
          <w:rFonts w:ascii="Arial" w:cs="Arial" w:eastAsia="Arial" w:hAnsi="Arial"/>
          <w:sz w:val="22"/>
          <w:szCs w:val="22"/>
          <w:color w:val="auto"/>
        </w:rPr>
      </w:pPr>
    </w:p>
    <w:p>
      <w:pPr>
        <w:ind w:left="720" w:right="260" w:hanging="363"/>
        <w:spacing w:after="0" w:line="322"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whether and the extent to which our technology and processes infringe, misappropriate or otherwise violate intellectual property rights of the licensor that is not subject to the licensing agreement;</w:t>
      </w:r>
    </w:p>
    <w:p>
      <w:pPr>
        <w:spacing w:after="0" w:line="17" w:lineRule="exact"/>
        <w:rPr>
          <w:rFonts w:ascii="Arial" w:cs="Arial" w:eastAsia="Arial" w:hAnsi="Arial"/>
          <w:sz w:val="20"/>
          <w:szCs w:val="20"/>
          <w:color w:val="auto"/>
        </w:rPr>
      </w:pPr>
    </w:p>
    <w:p>
      <w:pPr>
        <w:ind w:left="720" w:hanging="363"/>
        <w:spacing w:after="0"/>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our right to sublicense patent and other rights to third parties under collaborative development relationships;</w:t>
      </w:r>
    </w:p>
    <w:p>
      <w:pPr>
        <w:spacing w:after="0" w:line="146" w:lineRule="exact"/>
        <w:rPr>
          <w:rFonts w:ascii="Arial" w:cs="Arial" w:eastAsia="Arial" w:hAnsi="Arial"/>
          <w:sz w:val="20"/>
          <w:szCs w:val="20"/>
          <w:color w:val="auto"/>
        </w:rPr>
      </w:pPr>
    </w:p>
    <w:p>
      <w:pPr>
        <w:ind w:left="720" w:right="60" w:hanging="363"/>
        <w:spacing w:after="0" w:line="322"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our diligence obligations with respect to the use of the licensed technology in relation to our development and commercialization of our product candidates, and what activities satisfy those diligence obligations;</w:t>
      </w:r>
    </w:p>
    <w:p>
      <w:pPr>
        <w:spacing w:after="0" w:line="17" w:lineRule="exact"/>
        <w:rPr>
          <w:rFonts w:ascii="Arial" w:cs="Arial" w:eastAsia="Arial" w:hAnsi="Arial"/>
          <w:sz w:val="20"/>
          <w:szCs w:val="20"/>
          <w:color w:val="auto"/>
        </w:rPr>
      </w:pPr>
    </w:p>
    <w:p>
      <w:pPr>
        <w:ind w:left="720" w:hanging="363"/>
        <w:spacing w:after="0"/>
        <w:tabs>
          <w:tab w:leader="none" w:pos="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priority of invention of any patented technology; and</w:t>
      </w:r>
    </w:p>
    <w:p>
      <w:pPr>
        <w:spacing w:after="0" w:line="123" w:lineRule="exact"/>
        <w:rPr>
          <w:rFonts w:ascii="Arial" w:cs="Arial" w:eastAsia="Arial" w:hAnsi="Arial"/>
          <w:sz w:val="22"/>
          <w:szCs w:val="22"/>
          <w:color w:val="auto"/>
        </w:rPr>
      </w:pPr>
    </w:p>
    <w:p>
      <w:pPr>
        <w:ind w:left="720" w:right="120" w:hanging="363"/>
        <w:spacing w:after="0" w:line="271" w:lineRule="auto"/>
        <w:tabs>
          <w:tab w:leader="none" w:pos="72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ownership of inventions and know-how resulting from the joint creation or use of intellectual property by our future licensors and us and our partners.</w:t>
      </w:r>
    </w:p>
    <w:p>
      <w:pPr>
        <w:spacing w:after="0" w:line="181"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In addition, the agreements under which we may license intellectual property or technology from third parties in the future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in the future prevent or impair our ability to maintain future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162" w:lineRule="exact"/>
        <w:rPr>
          <w:sz w:val="20"/>
          <w:szCs w:val="20"/>
          <w:color w:val="auto"/>
        </w:rPr>
      </w:pPr>
    </w:p>
    <w:p>
      <w:pPr>
        <w:ind w:right="180"/>
        <w:spacing w:after="0" w:line="276" w:lineRule="auto"/>
        <w:rPr>
          <w:sz w:val="20"/>
          <w:szCs w:val="20"/>
          <w:color w:val="auto"/>
        </w:rPr>
      </w:pPr>
      <w:r>
        <w:rPr>
          <w:rFonts w:ascii="Arial" w:cs="Arial" w:eastAsia="Arial" w:hAnsi="Arial"/>
          <w:sz w:val="22"/>
          <w:szCs w:val="22"/>
          <w:b w:val="1"/>
          <w:bCs w:val="1"/>
          <w:i w:val="1"/>
          <w:iCs w:val="1"/>
          <w:color w:val="auto"/>
        </w:rPr>
        <w:t>If we are unable to protect the confidentiality of our trade secrets, our business and competitive position would be harmed.</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addition to the protection afforded by patents we may own or in-license in the future, we seek to rely on trade secret protection, confidentiality agreements, and license agreements to protect proprietary know-how that is not patentable, processes for which patents are difficult to enforce and any other elements of our product discovery and development processes, including our MAP drug discovery engine that involve proprietary know-how, information, or technology that is not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240"/>
          </w:cols>
          <w:pgMar w:left="820" w:top="678" w:right="820" w:bottom="0" w:gutter="0" w:footer="0" w:header="0"/>
          <w:type w:val="continuous"/>
        </w:sectPr>
      </w:pPr>
    </w:p>
    <w:bookmarkStart w:id="86" w:name="page87"/>
    <w:bookmarkEnd w:id="86"/>
    <w:p>
      <w:pPr>
        <w:spacing w:after="0" w:line="276" w:lineRule="auto"/>
        <w:rPr>
          <w:sz w:val="20"/>
          <w:szCs w:val="20"/>
          <w:color w:val="auto"/>
        </w:rPr>
      </w:pPr>
      <w:r>
        <w:rPr>
          <w:rFonts w:ascii="Arial" w:cs="Arial" w:eastAsia="Arial" w:hAnsi="Arial"/>
          <w:sz w:val="20"/>
          <w:szCs w:val="20"/>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Enforcing a claim that a party illegally disclosed or misappropriated a trade secret is difficult, expensive and time-consuming, and the outcome is unpredictable. If we choose to go to court to stop a third-party from using any of our trade secrets, we may incur substantial costs. These lawsuits may consume our time and other resources even if we are successful. For example, significant elements of our MAP drug discovery engine, including aspects of oncogenicity computational algorithms, in vivo experiments to validate mechanisms and pharmacology, drug design, and related processes, are based on unpatented trade secrets that are not publicly disclosed.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third-party, we would have no right to prevent them from using that technology or information to compete with us.</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0"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b w:val="1"/>
          <w:bCs w:val="1"/>
          <w:i w:val="1"/>
          <w:iCs w:val="1"/>
          <w:color w:val="auto"/>
        </w:rPr>
        <w:t>We may not be successful in obtaining or maintaining necessary rights to product components and processes for our development pipeline through acquisitions and in-licenses.</w:t>
      </w:r>
    </w:p>
    <w:p>
      <w:pPr>
        <w:spacing w:after="0" w:line="180" w:lineRule="exact"/>
        <w:rPr>
          <w:sz w:val="20"/>
          <w:szCs w:val="20"/>
          <w:color w:val="auto"/>
        </w:rPr>
      </w:pPr>
    </w:p>
    <w:p>
      <w:pPr>
        <w:ind w:right="120"/>
        <w:spacing w:after="0" w:line="322" w:lineRule="auto"/>
        <w:rPr>
          <w:sz w:val="20"/>
          <w:szCs w:val="20"/>
          <w:color w:val="auto"/>
        </w:rPr>
      </w:pPr>
      <w:r>
        <w:rPr>
          <w:rFonts w:ascii="Arial" w:cs="Arial" w:eastAsia="Arial" w:hAnsi="Arial"/>
          <w:sz w:val="20"/>
          <w:szCs w:val="20"/>
          <w:color w:val="auto"/>
        </w:rPr>
        <w:t>Because developing our product candidates may require the use of proprietary rights held by third parties, the growth of our business will likely depend in part on our ability to acquire, in-license or use these proprietary rights.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240"/>
          </w:cols>
          <w:pgMar w:left="820" w:top="678" w:right="820" w:bottom="0" w:gutter="0" w:footer="0" w:header="0"/>
          <w:type w:val="continuous"/>
        </w:sectPr>
      </w:pPr>
    </w:p>
    <w:bookmarkStart w:id="87" w:name="page88"/>
    <w:bookmarkEnd w:id="87"/>
    <w:p>
      <w:pPr>
        <w:ind w:right="20"/>
        <w:spacing w:after="0" w:line="274" w:lineRule="auto"/>
        <w:rPr>
          <w:sz w:val="20"/>
          <w:szCs w:val="20"/>
          <w:color w:val="auto"/>
        </w:rPr>
      </w:pPr>
      <w:r>
        <w:rPr>
          <w:rFonts w:ascii="Arial" w:cs="Arial" w:eastAsia="Arial" w:hAnsi="Arial"/>
          <w:sz w:val="20"/>
          <w:szCs w:val="20"/>
          <w:color w:val="auto"/>
        </w:rPr>
        <w:t>Our product candidates may also require specific formulations to work effectively and efficiently and these rights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molecules that will be used with our product candidates may be covered by the intellectual property rights of others.</w:t>
      </w:r>
    </w:p>
    <w:p>
      <w:pPr>
        <w:spacing w:after="0" w:line="185"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22"/>
          <w:szCs w:val="22"/>
          <w:b w:val="1"/>
          <w:bCs w:val="1"/>
          <w:i w:val="1"/>
          <w:iCs w:val="1"/>
          <w:color w:val="auto"/>
        </w:rPr>
        <w:t>Any issued patents we may own or in-license in the future covering our product candidates could be narrowed or found invalid or unenforceable if challenged in court or before administrative bodies in the United States or abroad, including the USPTO.</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240"/>
          </w:cols>
          <w:pgMar w:left="820" w:top="678" w:right="820" w:bottom="0" w:gutter="0" w:footer="0" w:header="0"/>
          <w:type w:val="continuous"/>
        </w:sectPr>
      </w:pPr>
    </w:p>
    <w:bookmarkStart w:id="88" w:name="page89"/>
    <w:bookmarkEnd w:id="88"/>
    <w:p>
      <w:pPr>
        <w:ind w:right="60"/>
        <w:spacing w:after="0" w:line="286" w:lineRule="auto"/>
        <w:rPr>
          <w:sz w:val="20"/>
          <w:szCs w:val="20"/>
          <w:color w:val="auto"/>
        </w:rPr>
      </w:pPr>
      <w:r>
        <w:rPr>
          <w:rFonts w:ascii="Arial" w:cs="Arial" w:eastAsia="Arial" w:hAnsi="Arial"/>
          <w:sz w:val="19"/>
          <w:szCs w:val="19"/>
          <w:color w:val="auto"/>
        </w:rPr>
        <w:t>If we or our future licensors or strategic partners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inter partes review, post grant review and equivalent proceedings in foreign jurisdictions (such as opposition proceedings). Such proceedings could result in revocation or amendment to our patent applications or any patents we may own or in-license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in the future, allow third parties to commercialize our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78" w:lineRule="exact"/>
        <w:rPr>
          <w:sz w:val="20"/>
          <w:szCs w:val="20"/>
          <w:color w:val="auto"/>
        </w:rPr>
      </w:pPr>
    </w:p>
    <w:p>
      <w:pPr>
        <w:ind w:right="160"/>
        <w:spacing w:after="0" w:line="299" w:lineRule="auto"/>
        <w:rPr>
          <w:sz w:val="20"/>
          <w:szCs w:val="20"/>
          <w:color w:val="auto"/>
        </w:rPr>
      </w:pPr>
      <w:r>
        <w:rPr>
          <w:rFonts w:ascii="Arial" w:cs="Arial" w:eastAsia="Arial" w:hAnsi="Arial"/>
          <w:sz w:val="20"/>
          <w:szCs w:val="20"/>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220"/>
          </w:cols>
          <w:pgMar w:left="820" w:top="678" w:right="840" w:bottom="0" w:gutter="0" w:footer="0" w:header="0"/>
          <w:type w:val="continuous"/>
        </w:sectPr>
      </w:pPr>
    </w:p>
    <w:bookmarkStart w:id="89" w:name="page90"/>
    <w:bookmarkEnd w:id="89"/>
    <w:p>
      <w:pPr>
        <w:ind w:right="20"/>
        <w:spacing w:after="0" w:line="290" w:lineRule="auto"/>
        <w:rPr>
          <w:sz w:val="20"/>
          <w:szCs w:val="20"/>
          <w:color w:val="auto"/>
        </w:rPr>
      </w:pPr>
      <w:r>
        <w:rPr>
          <w:rFonts w:ascii="Arial" w:cs="Arial" w:eastAsia="Arial" w:hAnsi="Arial"/>
          <w:sz w:val="19"/>
          <w:szCs w:val="19"/>
          <w:color w:val="auto"/>
        </w:rPr>
        <w:t>Periodic maintenance fees, renewal fees, annuity fees and various other government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8"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b w:val="1"/>
          <w:bCs w:val="1"/>
          <w:i w:val="1"/>
          <w:iCs w:val="1"/>
          <w:color w:val="auto"/>
        </w:rPr>
        <w:t>We have limited foreign intellectual property rights and may not be able to protect our intellectual property rights throughout the world.</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We may not be able to pursue generic coverage of our product candidates outside of the United States. Filing, prosecuting and defending patents on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in jurisdictions where we do not have any issued patents our patent applications or other intellectual property rights may not be effective or sufficient to prevent them from competing. Our patent portfolio is at the very early stage. We will need to decide whether and in which jurisdictions to pursue protection for the various inventions in our portfolio prior to applicable deadlines.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any patents we may own or in-license in the future or marketing of competing products in violation of our proprietary rights generally. Proceedings to enforce any rights we may have in our patent applications or any patents we may own or in-license in the future in foreign jurisdictions could result in substantial costs and divert our efforts and attention from other aspects of our business, could put any patents we may own or in-license in the future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140"/>
        <w:spacing w:after="0" w:line="280" w:lineRule="auto"/>
        <w:rPr>
          <w:sz w:val="20"/>
          <w:szCs w:val="20"/>
          <w:color w:val="auto"/>
        </w:rPr>
      </w:pPr>
      <w:r>
        <w:rPr>
          <w:rFonts w:ascii="Arial" w:cs="Arial" w:eastAsia="Arial" w:hAnsi="Arial"/>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in the future that are relevant to our business, our competitive position may be impaired, and our business, financial condition, results of operations, and prospects may be adversely affected.</w:t>
      </w:r>
    </w:p>
    <w:p>
      <w:pPr>
        <w:spacing w:after="0" w:line="168" w:lineRule="exact"/>
        <w:rPr>
          <w:sz w:val="20"/>
          <w:szCs w:val="20"/>
          <w:color w:val="auto"/>
        </w:rPr>
      </w:pPr>
    </w:p>
    <w:p>
      <w:pPr>
        <w:ind w:right="140"/>
        <w:spacing w:after="0" w:line="276" w:lineRule="auto"/>
        <w:rPr>
          <w:sz w:val="20"/>
          <w:szCs w:val="20"/>
          <w:color w:val="auto"/>
        </w:rPr>
      </w:pPr>
      <w:r>
        <w:rPr>
          <w:rFonts w:ascii="Arial" w:cs="Arial" w:eastAsia="Arial" w:hAnsi="Arial"/>
          <w:sz w:val="22"/>
          <w:szCs w:val="22"/>
          <w:b w:val="1"/>
          <w:bCs w:val="1"/>
          <w:i w:val="1"/>
          <w:iCs w:val="1"/>
          <w:color w:val="auto"/>
        </w:rPr>
        <w:t>If we do not obtain patent term extension and data exclusivity for any of our current or future product candidates we may develop, our business may be materially harmed.</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200"/>
          </w:cols>
          <w:pgMar w:left="820" w:top="678" w:right="860" w:bottom="0" w:gutter="0" w:footer="0" w:header="0"/>
          <w:type w:val="continuous"/>
        </w:sectPr>
      </w:pPr>
    </w:p>
    <w:bookmarkStart w:id="90" w:name="page91"/>
    <w:bookmarkEnd w:id="90"/>
    <w:p>
      <w:pPr>
        <w:ind w:right="40"/>
        <w:spacing w:after="0" w:line="289" w:lineRule="auto"/>
        <w:rPr>
          <w:sz w:val="20"/>
          <w:szCs w:val="20"/>
          <w:color w:val="auto"/>
        </w:rPr>
      </w:pPr>
      <w:r>
        <w:rPr>
          <w:rFonts w:ascii="Arial" w:cs="Arial" w:eastAsia="Arial" w:hAnsi="Arial"/>
          <w:sz w:val="19"/>
          <w:szCs w:val="19"/>
          <w:color w:val="auto"/>
        </w:rPr>
        <w:t>Depending upon the timing, duration and specifics of any FDA marketing approval of any of our current or future product candidates we may develop, one or more U.S. patents we may own or in-license in the future may be eligible for limited patent term extension under the Drug Price Competition and Patent Term Restoration Act of 1984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expiration of any patents that issue from our patent applications, and our business, financial condition, results of operations, and prospects could be materially harmed.</w:t>
      </w:r>
    </w:p>
    <w:p>
      <w:pPr>
        <w:spacing w:after="0" w:line="164" w:lineRule="exact"/>
        <w:rPr>
          <w:sz w:val="20"/>
          <w:szCs w:val="20"/>
          <w:color w:val="auto"/>
        </w:rPr>
      </w:pPr>
    </w:p>
    <w:p>
      <w:pPr>
        <w:ind w:right="1040"/>
        <w:spacing w:after="0" w:line="328" w:lineRule="auto"/>
        <w:rPr>
          <w:sz w:val="20"/>
          <w:szCs w:val="20"/>
          <w:color w:val="auto"/>
        </w:rPr>
      </w:pPr>
      <w:r>
        <w:rPr>
          <w:rFonts w:ascii="Arial" w:cs="Arial" w:eastAsia="Arial" w:hAnsi="Arial"/>
          <w:sz w:val="20"/>
          <w:szCs w:val="20"/>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Numerous factors may limit any potential competitive advantage provided by our intellectual property rights.</w:t>
      </w:r>
    </w:p>
    <w:p>
      <w:pPr>
        <w:spacing w:after="0" w:line="285" w:lineRule="exact"/>
        <w:rPr>
          <w:sz w:val="20"/>
          <w:szCs w:val="20"/>
          <w:color w:val="auto"/>
        </w:rPr>
      </w:pPr>
    </w:p>
    <w:p>
      <w:pPr>
        <w:ind w:right="40"/>
        <w:spacing w:after="0" w:line="301" w:lineRule="auto"/>
        <w:rPr>
          <w:sz w:val="20"/>
          <w:szCs w:val="20"/>
          <w:color w:val="auto"/>
        </w:rPr>
      </w:pPr>
      <w:r>
        <w:rPr>
          <w:rFonts w:ascii="Arial" w:cs="Arial" w:eastAsia="Arial" w:hAnsi="Arial"/>
          <w:sz w:val="19"/>
          <w:szCs w:val="19"/>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41" w:lineRule="exact"/>
        <w:rPr>
          <w:sz w:val="20"/>
          <w:szCs w:val="20"/>
          <w:color w:val="auto"/>
        </w:rPr>
      </w:pPr>
    </w:p>
    <w:p>
      <w:pPr>
        <w:ind w:left="720" w:hanging="363"/>
        <w:spacing w:after="0"/>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patent applications that we own or may in-license in the future may not lead to issued patents;</w:t>
      </w:r>
    </w:p>
    <w:p>
      <w:pPr>
        <w:spacing w:after="0" w:line="123" w:lineRule="exact"/>
        <w:rPr>
          <w:rFonts w:ascii="Arial" w:cs="Arial" w:eastAsia="Arial" w:hAnsi="Arial"/>
          <w:sz w:val="22"/>
          <w:szCs w:val="22"/>
          <w:color w:val="auto"/>
        </w:rPr>
      </w:pPr>
    </w:p>
    <w:p>
      <w:pPr>
        <w:ind w:left="720" w:right="160" w:hanging="363"/>
        <w:spacing w:after="0" w:line="348" w:lineRule="auto"/>
        <w:tabs>
          <w:tab w:leader="none" w:pos="7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patents, should they issue, that we may own or in-license in the future, may not provide us with any competitive advantages, may be narrowed in scope, or may be challenged and held invalid or unenforceable;</w:t>
      </w:r>
    </w:p>
    <w:p>
      <w:pPr>
        <w:spacing w:after="0" w:line="1" w:lineRule="exact"/>
        <w:rPr>
          <w:rFonts w:ascii="Arial" w:cs="Arial" w:eastAsia="Arial" w:hAnsi="Arial"/>
          <w:sz w:val="19"/>
          <w:szCs w:val="19"/>
          <w:color w:val="auto"/>
        </w:rPr>
      </w:pPr>
    </w:p>
    <w:p>
      <w:pPr>
        <w:ind w:left="720" w:right="60" w:hanging="363"/>
        <w:spacing w:after="0" w:line="254" w:lineRule="auto"/>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may own or in-license in the future, should any patents issue;</w:t>
      </w:r>
    </w:p>
    <w:p>
      <w:pPr>
        <w:spacing w:after="0" w:line="81" w:lineRule="exact"/>
        <w:rPr>
          <w:rFonts w:ascii="Arial" w:cs="Arial" w:eastAsia="Arial" w:hAnsi="Arial"/>
          <w:sz w:val="22"/>
          <w:szCs w:val="22"/>
          <w:color w:val="auto"/>
        </w:rPr>
      </w:pPr>
    </w:p>
    <w:p>
      <w:pPr>
        <w:ind w:left="720" w:hanging="363"/>
        <w:spacing w:after="0"/>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third parties may compete with us in jurisdictions where we do not pursue and obtain patent protection;</w:t>
      </w:r>
    </w:p>
    <w:p>
      <w:pPr>
        <w:spacing w:after="0" w:line="146" w:lineRule="exact"/>
        <w:rPr>
          <w:rFonts w:ascii="Arial" w:cs="Arial" w:eastAsia="Arial" w:hAnsi="Arial"/>
          <w:sz w:val="20"/>
          <w:szCs w:val="20"/>
          <w:color w:val="auto"/>
        </w:rPr>
      </w:pPr>
    </w:p>
    <w:p>
      <w:pPr>
        <w:ind w:left="720" w:right="100" w:hanging="363"/>
        <w:spacing w:after="0" w:line="271" w:lineRule="auto"/>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we, or our future licensors or collaborators, might not have been the first to make the inventions covered by a patent application that we own or may in-license in the future;</w:t>
      </w:r>
    </w:p>
    <w:p>
      <w:pPr>
        <w:spacing w:after="0" w:line="63" w:lineRule="exact"/>
        <w:rPr>
          <w:rFonts w:ascii="Arial" w:cs="Arial" w:eastAsia="Arial" w:hAnsi="Arial"/>
          <w:sz w:val="22"/>
          <w:szCs w:val="22"/>
          <w:color w:val="auto"/>
        </w:rPr>
      </w:pPr>
    </w:p>
    <w:p>
      <w:pPr>
        <w:ind w:left="720" w:right="60" w:hanging="363"/>
        <w:spacing w:after="0" w:line="271" w:lineRule="auto"/>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we, or our future licensors or collaborators, might not have been the first to file patent applications covering a particular invention;</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240"/>
          </w:cols>
          <w:pgMar w:left="820" w:top="678" w:right="820" w:bottom="0" w:gutter="0" w:footer="0" w:header="0"/>
          <w:type w:val="continuous"/>
        </w:sectPr>
      </w:pPr>
    </w:p>
    <w:bookmarkStart w:id="91" w:name="page92"/>
    <w:bookmarkEnd w:id="91"/>
    <w:p>
      <w:pPr>
        <w:ind w:left="720" w:right="120" w:hanging="363"/>
        <w:spacing w:after="0" w:line="271" w:lineRule="auto"/>
        <w:tabs>
          <w:tab w:leader="none" w:pos="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others may independently develop similar or alternative technologies without infringing, misappropriating or otherwise violating our intellectual property rights;</w:t>
      </w:r>
    </w:p>
    <w:p>
      <w:pPr>
        <w:spacing w:after="0" w:line="63" w:lineRule="exact"/>
        <w:rPr>
          <w:rFonts w:ascii="Arial" w:cs="Arial" w:eastAsia="Arial" w:hAnsi="Arial"/>
          <w:sz w:val="22"/>
          <w:szCs w:val="22"/>
          <w:color w:val="auto"/>
        </w:rPr>
      </w:pPr>
    </w:p>
    <w:p>
      <w:pPr>
        <w:ind w:left="720" w:right="120" w:hanging="363"/>
        <w:spacing w:after="0" w:line="287"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2" w:lineRule="exact"/>
        <w:rPr>
          <w:rFonts w:ascii="Arial" w:cs="Arial" w:eastAsia="Arial" w:hAnsi="Arial"/>
          <w:sz w:val="20"/>
          <w:szCs w:val="20"/>
          <w:color w:val="auto"/>
        </w:rPr>
      </w:pPr>
    </w:p>
    <w:p>
      <w:pPr>
        <w:ind w:left="720" w:hanging="363"/>
        <w:spacing w:after="0"/>
        <w:tabs>
          <w:tab w:leader="none" w:pos="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we may not be able to obtain and/or maintain necessary licenses on reasonable terms or at all;</w:t>
      </w:r>
    </w:p>
    <w:p>
      <w:pPr>
        <w:spacing w:after="0" w:line="123" w:lineRule="exact"/>
        <w:rPr>
          <w:rFonts w:ascii="Arial" w:cs="Arial" w:eastAsia="Arial" w:hAnsi="Arial"/>
          <w:sz w:val="22"/>
          <w:szCs w:val="22"/>
          <w:color w:val="auto"/>
        </w:rPr>
      </w:pPr>
    </w:p>
    <w:p>
      <w:pPr>
        <w:ind w:left="720" w:right="40" w:hanging="363"/>
        <w:spacing w:after="0" w:line="322"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third parties may assert an ownership interest in our intellectual property and, if successful, such disputes may preclude us from exercising exclusive rights, or any rights at all, over that intellectual property;</w:t>
      </w:r>
    </w:p>
    <w:p>
      <w:pPr>
        <w:spacing w:after="0" w:line="17" w:lineRule="exact"/>
        <w:rPr>
          <w:rFonts w:ascii="Arial" w:cs="Arial" w:eastAsia="Arial" w:hAnsi="Arial"/>
          <w:sz w:val="20"/>
          <w:szCs w:val="20"/>
          <w:color w:val="auto"/>
        </w:rPr>
      </w:pPr>
    </w:p>
    <w:p>
      <w:pPr>
        <w:ind w:left="720" w:right="320" w:hanging="363"/>
        <w:spacing w:after="0" w:line="271" w:lineRule="auto"/>
        <w:tabs>
          <w:tab w:leader="none" w:pos="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we may choose not to file a patent in order to maintain certain trade secrets or know-how, and a third party may subsequently file a patent covering such trade secrets or know-how;</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may not be able to maintain the confidentiality of our trade secrets or other proprietary information;</w:t>
      </w:r>
    </w:p>
    <w:p>
      <w:pPr>
        <w:spacing w:after="0" w:line="146" w:lineRule="exact"/>
        <w:rPr>
          <w:rFonts w:ascii="Arial" w:cs="Arial" w:eastAsia="Arial" w:hAnsi="Arial"/>
          <w:sz w:val="20"/>
          <w:szCs w:val="20"/>
          <w:color w:val="auto"/>
        </w:rPr>
      </w:pPr>
    </w:p>
    <w:p>
      <w:pPr>
        <w:ind w:left="720" w:hanging="363"/>
        <w:spacing w:after="0"/>
        <w:tabs>
          <w:tab w:leader="none" w:pos="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we may not develop or in-license additional proprietary technologies that are patentable; and</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patents of others may have an adverse effect on our business.</w:t>
      </w:r>
    </w:p>
    <w:p>
      <w:pPr>
        <w:spacing w:after="0" w:line="241" w:lineRule="exact"/>
        <w:rPr>
          <w:sz w:val="20"/>
          <w:szCs w:val="20"/>
          <w:color w:val="auto"/>
        </w:rPr>
      </w:pPr>
    </w:p>
    <w:p>
      <w:pPr>
        <w:ind w:right="40"/>
        <w:spacing w:after="0" w:line="271" w:lineRule="auto"/>
        <w:rPr>
          <w:sz w:val="20"/>
          <w:szCs w:val="20"/>
          <w:color w:val="auto"/>
        </w:rPr>
      </w:pPr>
      <w:r>
        <w:rPr>
          <w:rFonts w:ascii="Arial" w:cs="Arial" w:eastAsia="Arial" w:hAnsi="Arial"/>
          <w:sz w:val="22"/>
          <w:szCs w:val="22"/>
          <w:color w:val="auto"/>
        </w:rPr>
        <w:t>Should any of these events occur, they could significantly harm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intellectual property litigation</w:t>
      </w:r>
    </w:p>
    <w:p>
      <w:pPr>
        <w:spacing w:after="0" w:line="231" w:lineRule="exact"/>
        <w:rPr>
          <w:sz w:val="20"/>
          <w:szCs w:val="20"/>
          <w:color w:val="auto"/>
        </w:rPr>
      </w:pPr>
    </w:p>
    <w:p>
      <w:pPr>
        <w:ind w:right="320"/>
        <w:spacing w:after="0" w:line="328" w:lineRule="auto"/>
        <w:rPr>
          <w:sz w:val="20"/>
          <w:szCs w:val="20"/>
          <w:color w:val="auto"/>
        </w:rPr>
      </w:pPr>
      <w:r>
        <w:rPr>
          <w:rFonts w:ascii="Arial" w:cs="Arial" w:eastAsia="Arial" w:hAnsi="Arial"/>
          <w:sz w:val="20"/>
          <w:szCs w:val="20"/>
          <w:b w:val="1"/>
          <w:bCs w:val="1"/>
          <w:i w:val="1"/>
          <w:iCs w:val="1"/>
          <w:color w:val="auto"/>
        </w:rPr>
        <w:t>Third-party claims of intellectual property infringement, misappropriation or other violations may be costly and time consuming and may prevent or delay our product discovery and development efforts.</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The intellectual property landscape around precision medicine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93" w:lineRule="exact"/>
        <w:rPr>
          <w:sz w:val="20"/>
          <w:szCs w:val="20"/>
          <w:color w:val="auto"/>
        </w:rPr>
      </w:pPr>
    </w:p>
    <w:p>
      <w:pPr>
        <w:ind w:right="400"/>
        <w:spacing w:after="0" w:line="271" w:lineRule="auto"/>
        <w:rPr>
          <w:sz w:val="20"/>
          <w:szCs w:val="20"/>
          <w:color w:val="auto"/>
        </w:rPr>
      </w:pPr>
      <w:r>
        <w:rPr>
          <w:rFonts w:ascii="Arial" w:cs="Arial" w:eastAsia="Arial" w:hAnsi="Arial"/>
          <w:sz w:val="22"/>
          <w:szCs w:val="22"/>
          <w:color w:val="auto"/>
        </w:rPr>
        <w:t>If a third party claims that we infringe, misappropriate or otherwise violate its intellectual property rights, we may face a number of issues, including, but not limited to:</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240"/>
          </w:cols>
          <w:pgMar w:left="820" w:top="678" w:right="820" w:bottom="0" w:gutter="0" w:footer="0" w:header="0"/>
          <w:type w:val="continuous"/>
        </w:sectPr>
      </w:pPr>
    </w:p>
    <w:bookmarkStart w:id="92" w:name="page93"/>
    <w:bookmarkEnd w:id="92"/>
    <w:p>
      <w:pPr>
        <w:ind w:left="720" w:right="120" w:hanging="363"/>
        <w:spacing w:after="0" w:line="258" w:lineRule="auto"/>
        <w:tabs>
          <w:tab w:leader="none" w:pos="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77" w:lineRule="exact"/>
        <w:rPr>
          <w:rFonts w:ascii="Arial" w:cs="Arial" w:eastAsia="Arial" w:hAnsi="Arial"/>
          <w:sz w:val="22"/>
          <w:szCs w:val="22"/>
          <w:color w:val="auto"/>
        </w:rPr>
      </w:pPr>
    </w:p>
    <w:p>
      <w:pPr>
        <w:ind w:left="720" w:right="100" w:hanging="363"/>
        <w:spacing w:after="0" w:line="254" w:lineRule="auto"/>
        <w:tabs>
          <w:tab w:leader="none" w:pos="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1" w:lineRule="exact"/>
        <w:rPr>
          <w:rFonts w:ascii="Arial" w:cs="Arial" w:eastAsia="Arial" w:hAnsi="Arial"/>
          <w:sz w:val="22"/>
          <w:szCs w:val="22"/>
          <w:color w:val="auto"/>
        </w:rPr>
      </w:pPr>
    </w:p>
    <w:p>
      <w:pPr>
        <w:ind w:left="720" w:right="20" w:hanging="363"/>
        <w:spacing w:after="0" w:line="318" w:lineRule="auto"/>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court prohibiting us from developing, manufacturing, marketing or selling our product candidates, including silevertinib, BDTX-4933, or BDTX-4876, or from using our proprietary technologies, unless the third party licenses its product rights to us, which it is not required to do, on commercially reasonable terms or at all;</w:t>
      </w:r>
    </w:p>
    <w:p>
      <w:pPr>
        <w:spacing w:after="0" w:line="25" w:lineRule="exact"/>
        <w:rPr>
          <w:rFonts w:ascii="Arial" w:cs="Arial" w:eastAsia="Arial" w:hAnsi="Arial"/>
          <w:sz w:val="19"/>
          <w:szCs w:val="19"/>
          <w:color w:val="auto"/>
        </w:rPr>
      </w:pPr>
    </w:p>
    <w:p>
      <w:pPr>
        <w:ind w:left="720" w:right="180" w:hanging="363"/>
        <w:spacing w:after="0" w:line="318" w:lineRule="auto"/>
        <w:tabs>
          <w:tab w:leader="none" w:pos="7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25" w:lineRule="exact"/>
        <w:rPr>
          <w:rFonts w:ascii="Arial" w:cs="Arial" w:eastAsia="Arial" w:hAnsi="Arial"/>
          <w:sz w:val="19"/>
          <w:szCs w:val="19"/>
          <w:color w:val="auto"/>
        </w:rPr>
      </w:pPr>
    </w:p>
    <w:p>
      <w:pPr>
        <w:jc w:val="both"/>
        <w:ind w:left="720" w:right="120" w:hanging="363"/>
        <w:spacing w:after="0" w:line="258" w:lineRule="auto"/>
        <w:tabs>
          <w:tab w:leader="none" w:pos="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77" w:lineRule="exact"/>
        <w:rPr>
          <w:rFonts w:ascii="Arial" w:cs="Arial" w:eastAsia="Arial" w:hAnsi="Arial"/>
          <w:sz w:val="22"/>
          <w:szCs w:val="22"/>
          <w:color w:val="auto"/>
        </w:rPr>
      </w:pPr>
    </w:p>
    <w:p>
      <w:pPr>
        <w:ind w:left="720" w:right="440" w:hanging="363"/>
        <w:spacing w:after="0" w:line="258" w:lineRule="auto"/>
        <w:tabs>
          <w:tab w:leader="none" w:pos="7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96" w:lineRule="exact"/>
        <w:rPr>
          <w:sz w:val="20"/>
          <w:szCs w:val="20"/>
          <w:color w:val="auto"/>
        </w:rPr>
      </w:pPr>
    </w:p>
    <w:p>
      <w:pPr>
        <w:ind w:right="100"/>
        <w:spacing w:after="0" w:line="280" w:lineRule="auto"/>
        <w:rPr>
          <w:sz w:val="20"/>
          <w:szCs w:val="20"/>
          <w:color w:val="auto"/>
        </w:rPr>
      </w:pPr>
      <w:r>
        <w:rPr>
          <w:rFonts w:ascii="Arial" w:cs="Arial" w:eastAsia="Arial" w:hAnsi="Arial"/>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78"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220"/>
          </w:cols>
          <w:pgMar w:left="820" w:top="678" w:right="840" w:bottom="0" w:gutter="0" w:footer="0" w:header="0"/>
          <w:type w:val="continuous"/>
        </w:sectPr>
      </w:pPr>
    </w:p>
    <w:bookmarkStart w:id="93" w:name="page94"/>
    <w:bookmarkEnd w:id="93"/>
    <w:p>
      <w:pPr>
        <w:ind w:right="20"/>
        <w:spacing w:after="0" w:line="271" w:lineRule="auto"/>
        <w:rPr>
          <w:sz w:val="20"/>
          <w:szCs w:val="20"/>
          <w:color w:val="auto"/>
        </w:rPr>
      </w:pPr>
      <w:r>
        <w:rPr>
          <w:rFonts w:ascii="Arial" w:cs="Arial" w:eastAsia="Arial" w:hAnsi="Arial"/>
          <w:sz w:val="20"/>
          <w:szCs w:val="20"/>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may own or in-license in the future is threatened, it could dissuade companies from collaborating with us to license, develop or commercialize current or future product candidates.</w:t>
      </w:r>
    </w:p>
    <w:p>
      <w:pPr>
        <w:spacing w:after="0" w:line="20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0" w:lineRule="exact"/>
        <w:rPr>
          <w:sz w:val="20"/>
          <w:szCs w:val="20"/>
          <w:color w:val="auto"/>
        </w:rPr>
      </w:pPr>
    </w:p>
    <w:p>
      <w:pPr>
        <w:ind w:right="60"/>
        <w:spacing w:after="0" w:line="328" w:lineRule="auto"/>
        <w:rPr>
          <w:sz w:val="20"/>
          <w:szCs w:val="20"/>
          <w:color w:val="auto"/>
        </w:rPr>
      </w:pPr>
      <w:r>
        <w:rPr>
          <w:rFonts w:ascii="Arial" w:cs="Arial" w:eastAsia="Arial" w:hAnsi="Arial"/>
          <w:sz w:val="20"/>
          <w:szCs w:val="20"/>
          <w:b w:val="1"/>
          <w:bCs w:val="1"/>
          <w:i w:val="1"/>
          <w:iCs w:val="1"/>
          <w:color w:val="auto"/>
        </w:rPr>
        <w:t>We may be involved in lawsuits to protect or enforce our intellectual property rights, including any patents we may own or in-license in the future, which could be expensive, time-consuming and unsuccessful.</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220"/>
          </w:cols>
          <w:pgMar w:left="820" w:top="678" w:right="840" w:bottom="0" w:gutter="0" w:footer="0" w:header="0"/>
          <w:type w:val="continuous"/>
        </w:sectPr>
      </w:pPr>
    </w:p>
    <w:bookmarkStart w:id="94" w:name="page95"/>
    <w:bookmarkEnd w:id="94"/>
    <w:p>
      <w:pPr>
        <w:spacing w:after="0" w:line="272" w:lineRule="auto"/>
        <w:rPr>
          <w:sz w:val="20"/>
          <w:szCs w:val="20"/>
          <w:color w:val="auto"/>
        </w:rPr>
      </w:pPr>
      <w:r>
        <w:rPr>
          <w:rFonts w:ascii="Arial" w:cs="Arial" w:eastAsia="Arial" w:hAnsi="Arial"/>
          <w:sz w:val="20"/>
          <w:szCs w:val="20"/>
          <w:color w:val="auto"/>
        </w:rPr>
        <w:t>Competitors may infringe any patents we may own or in-license in the future.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in the future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in the future do not cover the technology in question or that such third party’s activities do not infringe our patent applications or any patents we may own or in-license in the future. An adverse result in any litigation or defense proceedings could put one or more of any patents we may own or in-license in the future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Post-grant proceedings provoked by third parties or brought by the USPTO may be necessary to determine the validity or priority of inventions with respect to our patent applications or any patents we may own or in-license in the future. These proceedings are expensive and an unfavorable outcome could result in a loss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European Patent Office, or EPO, or similar proceedings in other foreign patent offices, where either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2" w:lineRule="exact"/>
        <w:rPr>
          <w:sz w:val="20"/>
          <w:szCs w:val="20"/>
          <w:color w:val="auto"/>
        </w:rPr>
      </w:pPr>
    </w:p>
    <w:p>
      <w:pPr>
        <w:ind w:right="300"/>
        <w:spacing w:after="0" w:line="254" w:lineRule="auto"/>
        <w:rPr>
          <w:sz w:val="20"/>
          <w:szCs w:val="20"/>
          <w:color w:val="auto"/>
        </w:rPr>
      </w:pPr>
      <w:r>
        <w:rPr>
          <w:rFonts w:ascii="Arial" w:cs="Arial" w:eastAsia="Arial" w:hAnsi="Arial"/>
          <w:sz w:val="22"/>
          <w:szCs w:val="22"/>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99"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240"/>
          </w:cols>
          <w:pgMar w:left="820" w:top="678" w:right="820" w:bottom="0" w:gutter="0" w:footer="0" w:header="0"/>
          <w:type w:val="continuous"/>
        </w:sectPr>
      </w:pPr>
    </w:p>
    <w:bookmarkStart w:id="95" w:name="page96"/>
    <w:bookmarkEnd w:id="95"/>
    <w:p>
      <w:pPr>
        <w:spacing w:after="0" w:line="280" w:lineRule="auto"/>
        <w:rPr>
          <w:sz w:val="20"/>
          <w:szCs w:val="20"/>
          <w:color w:val="auto"/>
        </w:rPr>
      </w:pPr>
      <w:r>
        <w:rPr>
          <w:rFonts w:ascii="Arial" w:cs="Arial" w:eastAsia="Arial" w:hAnsi="Arial"/>
          <w:sz w:val="20"/>
          <w:szCs w:val="20"/>
          <w:color w:val="auto"/>
        </w:rPr>
        <w:t>We may not be able to detect infringement against any patents we may own or in-license in the future. Even if we detect infringement by a third party of any patents we may own or in-license in the future,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68"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b w:val="1"/>
          <w:bCs w:val="1"/>
          <w:i w:val="1"/>
          <w:iCs w:val="1"/>
          <w:color w:val="auto"/>
        </w:rPr>
        <w:t>We may be subject to claims challenging the inventorship or ownership of any intellectual property, including any patents we may own or in-license in the future.</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color w:val="auto"/>
        </w:rPr>
        <w:t>We may be subject to claims that former employees, collaborators or other third parties have an interest in any patents we may own or in-license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Litigation may be necessary to defend against these and other claims challenging inventorship of any patents we may own or in-license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4" w:lineRule="exact"/>
        <w:rPr>
          <w:sz w:val="20"/>
          <w:szCs w:val="20"/>
          <w:color w:val="auto"/>
        </w:rPr>
      </w:pPr>
    </w:p>
    <w:p>
      <w:pPr>
        <w:jc w:val="both"/>
        <w:ind w:right="200"/>
        <w:spacing w:after="0" w:line="299" w:lineRule="auto"/>
        <w:rPr>
          <w:sz w:val="20"/>
          <w:szCs w:val="20"/>
          <w:color w:val="auto"/>
        </w:rPr>
      </w:pPr>
      <w:r>
        <w:rPr>
          <w:rFonts w:ascii="Arial" w:cs="Arial" w:eastAsia="Arial" w:hAnsi="Arial"/>
          <w:sz w:val="20"/>
          <w:szCs w:val="20"/>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240"/>
          </w:cols>
          <w:pgMar w:left="820" w:top="678" w:right="820" w:bottom="0" w:gutter="0" w:footer="0" w:header="0"/>
          <w:type w:val="continuous"/>
        </w:sectPr>
      </w:pPr>
    </w:p>
    <w:bookmarkStart w:id="96" w:name="page97"/>
    <w:bookmarkEnd w:id="96"/>
    <w:p>
      <w:pPr>
        <w:spacing w:after="0" w:line="287" w:lineRule="auto"/>
        <w:rPr>
          <w:sz w:val="20"/>
          <w:szCs w:val="20"/>
          <w:color w:val="auto"/>
        </w:rPr>
      </w:pPr>
      <w:r>
        <w:rPr>
          <w:rFonts w:ascii="Arial" w:cs="Arial" w:eastAsia="Arial" w:hAnsi="Arial"/>
          <w:sz w:val="19"/>
          <w:szCs w:val="19"/>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in some cases until recently. We may be subject to claims that we or our employees, consultants or independent contractors have inadvertently or otherwise used or disclosed confidential information or trade secrets of these third parties or our employees’ former employers or our consultants’ or contractors’ current or former clients or customers. In addition, we have been and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reliance on third parties</w:t>
      </w:r>
    </w:p>
    <w:p>
      <w:pPr>
        <w:spacing w:after="0" w:line="239" w:lineRule="exact"/>
        <w:rPr>
          <w:sz w:val="20"/>
          <w:szCs w:val="20"/>
          <w:color w:val="auto"/>
        </w:rPr>
      </w:pPr>
    </w:p>
    <w:p>
      <w:pPr>
        <w:ind w:right="180"/>
        <w:spacing w:after="0" w:line="299" w:lineRule="auto"/>
        <w:rPr>
          <w:sz w:val="20"/>
          <w:szCs w:val="20"/>
          <w:color w:val="auto"/>
        </w:rPr>
      </w:pPr>
      <w:r>
        <w:rPr>
          <w:rFonts w:ascii="Arial" w:cs="Arial" w:eastAsia="Arial" w:hAnsi="Arial"/>
          <w:sz w:val="20"/>
          <w:szCs w:val="20"/>
          <w:b w:val="1"/>
          <w:bCs w:val="1"/>
          <w:i w:val="1"/>
          <w:iCs w:val="1"/>
          <w:color w:val="auto"/>
        </w:rPr>
        <w:t>We rely on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We utilize and depend upon independent investigators and collaborators, such as medical institutions, CROs, CMOs, and strategic partners to conduct and support our preclinical studies and clinical trials under agreements with us. We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220"/>
          </w:cols>
          <w:pgMar w:left="820" w:top="678" w:right="840" w:bottom="0" w:gutter="0" w:footer="0" w:header="0"/>
          <w:type w:val="continuous"/>
        </w:sectPr>
      </w:pPr>
    </w:p>
    <w:bookmarkStart w:id="97" w:name="page98"/>
    <w:bookmarkEnd w:id="97"/>
    <w:p>
      <w:pPr>
        <w:ind w:right="80"/>
        <w:spacing w:after="0" w:line="290" w:lineRule="auto"/>
        <w:rPr>
          <w:sz w:val="20"/>
          <w:szCs w:val="20"/>
          <w:color w:val="auto"/>
        </w:rPr>
      </w:pPr>
      <w:r>
        <w:rPr>
          <w:rFonts w:ascii="Arial" w:cs="Arial" w:eastAsia="Arial" w:hAnsi="Arial"/>
          <w:sz w:val="19"/>
          <w:szCs w:val="19"/>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90" w:lineRule="exact"/>
        <w:rPr>
          <w:sz w:val="20"/>
          <w:szCs w:val="20"/>
          <w:color w:val="auto"/>
        </w:rPr>
      </w:pPr>
    </w:p>
    <w:p>
      <w:pPr>
        <w:ind w:right="320"/>
        <w:spacing w:after="0" w:line="261" w:lineRule="auto"/>
        <w:rPr>
          <w:sz w:val="20"/>
          <w:szCs w:val="20"/>
          <w:color w:val="auto"/>
        </w:rPr>
      </w:pPr>
      <w:r>
        <w:rPr>
          <w:rFonts w:ascii="Arial" w:cs="Arial" w:eastAsia="Arial" w:hAnsi="Arial"/>
          <w:sz w:val="22"/>
          <w:szCs w:val="22"/>
          <w:b w:val="1"/>
          <w:bCs w:val="1"/>
          <w:i w:val="1"/>
          <w:iCs w:val="1"/>
          <w:color w:val="auto"/>
        </w:rPr>
        <w:t>We have entered into a license agreement, and may form or seek further collaborations or strategic alliances or enter into additional licensing arrangements in the future, and we may not realize the benefits of such collaborations, alliances or licensing arrangements.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As part of our strategy, we have entered into a license agreement and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w:t>
      </w:r>
    </w:p>
    <w:p>
      <w:pPr>
        <w:spacing w:after="0" w:line="199"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For example, in March 2025, we entered into a global licensing agreement (the Servier Agreement) with Servier Pharmaceuticals LLC (Servier) for our second clinical-stage asset, BDTX-4933, a small molecule designed to address unmet medical needs in RAF/RAS-mutant solid tumors. Under the Servier Agreement, we granted to Servier a worldwide license to develop and commercialize BDTX-4933. Pursuant to the terms of the Servier Agreement, Servier will lead the development activities and the worldwide commercialization of BDTX-4933 across multiple indications, including NSCLC, with potential applications in other solid tumors. Failure by Servier to meet its obligations under the Servier Agreement, to apply sufficient efforts at developing and commercializing licensed products, or to comply with applicable legal or regulatory requirements, may materially adversely affect our business and our results of operations. We are also currently exploring potential partnerships for the pivotal development of silevertinib.</w:t>
      </w:r>
    </w:p>
    <w:p>
      <w:pPr>
        <w:spacing w:after="0" w:line="187"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182" w:lineRule="exact"/>
        <w:rPr>
          <w:sz w:val="20"/>
          <w:szCs w:val="20"/>
          <w:color w:val="auto"/>
        </w:rPr>
      </w:pPr>
    </w:p>
    <w:p>
      <w:pPr>
        <w:ind w:right="700"/>
        <w:spacing w:after="0" w:line="271" w:lineRule="auto"/>
        <w:rPr>
          <w:sz w:val="20"/>
          <w:szCs w:val="20"/>
          <w:color w:val="auto"/>
        </w:rPr>
      </w:pPr>
      <w:r>
        <w:rPr>
          <w:rFonts w:ascii="Arial" w:cs="Arial" w:eastAsia="Arial" w:hAnsi="Arial"/>
          <w:sz w:val="22"/>
          <w:szCs w:val="22"/>
          <w:color w:val="auto"/>
        </w:rPr>
        <w:t>Further, collaborations involving our product candidates are subject to numerous risks, which may include the following:</w:t>
      </w:r>
    </w:p>
    <w:p>
      <w:pPr>
        <w:spacing w:after="0" w:line="64" w:lineRule="exact"/>
        <w:rPr>
          <w:sz w:val="20"/>
          <w:szCs w:val="20"/>
          <w:color w:val="auto"/>
        </w:rPr>
      </w:pPr>
    </w:p>
    <w:p>
      <w:pPr>
        <w:ind w:left="720" w:right="460" w:hanging="363"/>
        <w:spacing w:after="0" w:line="271"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collaborators have significant discretion in determining the efforts and resources that they will apply to a collaboration;</w:t>
      </w:r>
    </w:p>
    <w:p>
      <w:pPr>
        <w:spacing w:after="0" w:line="63" w:lineRule="exact"/>
        <w:rPr>
          <w:rFonts w:ascii="Arial" w:cs="Arial" w:eastAsia="Arial" w:hAnsi="Arial"/>
          <w:sz w:val="22"/>
          <w:szCs w:val="22"/>
          <w:color w:val="auto"/>
        </w:rPr>
      </w:pPr>
    </w:p>
    <w:p>
      <w:pPr>
        <w:ind w:left="720" w:hanging="363"/>
        <w:spacing w:after="0" w:line="306" w:lineRule="auto"/>
        <w:tabs>
          <w:tab w:leader="none" w:pos="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ectPr>
          <w:pgSz w:w="11880" w:h="15480" w:orient="portrait"/>
          <w:cols w:equalWidth="0" w:num="1">
            <w:col w:w="10200"/>
          </w:cols>
          <w:pgMar w:left="820" w:top="678" w:right="860" w:bottom="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200"/>
          </w:cols>
          <w:pgMar w:left="820" w:top="678" w:right="860" w:bottom="0" w:gutter="0" w:footer="0" w:header="0"/>
          <w:type w:val="continuous"/>
        </w:sectPr>
      </w:pPr>
    </w:p>
    <w:bookmarkStart w:id="98" w:name="page99"/>
    <w:bookmarkEnd w:id="98"/>
    <w:p>
      <w:pPr>
        <w:ind w:left="720" w:right="240" w:hanging="363"/>
        <w:spacing w:after="0" w:line="258"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77" w:lineRule="exact"/>
        <w:rPr>
          <w:rFonts w:ascii="Arial" w:cs="Arial" w:eastAsia="Arial" w:hAnsi="Arial"/>
          <w:sz w:val="22"/>
          <w:szCs w:val="22"/>
          <w:color w:val="auto"/>
        </w:rPr>
      </w:pPr>
    </w:p>
    <w:p>
      <w:pPr>
        <w:ind w:left="720" w:right="360" w:hanging="363"/>
        <w:spacing w:after="0" w:line="271"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collaborators could independently develop, or develop with third parties, products that compete directly or indirectly with our product candidates;</w:t>
      </w:r>
    </w:p>
    <w:p>
      <w:pPr>
        <w:spacing w:after="0" w:line="63" w:lineRule="exact"/>
        <w:rPr>
          <w:rFonts w:ascii="Arial" w:cs="Arial" w:eastAsia="Arial" w:hAnsi="Arial"/>
          <w:sz w:val="22"/>
          <w:szCs w:val="22"/>
          <w:color w:val="auto"/>
        </w:rPr>
      </w:pPr>
    </w:p>
    <w:p>
      <w:pPr>
        <w:ind w:left="720" w:right="560" w:hanging="363"/>
        <w:spacing w:after="0" w:line="271"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collaborator with marketing and distribution rights to one or more products may not commit sufficient resources to their marketing and distribution;</w:t>
      </w:r>
    </w:p>
    <w:p>
      <w:pPr>
        <w:spacing w:after="0" w:line="63" w:lineRule="exact"/>
        <w:rPr>
          <w:rFonts w:ascii="Arial" w:cs="Arial" w:eastAsia="Arial" w:hAnsi="Arial"/>
          <w:sz w:val="22"/>
          <w:szCs w:val="22"/>
          <w:color w:val="auto"/>
        </w:rPr>
      </w:pPr>
    </w:p>
    <w:p>
      <w:pPr>
        <w:ind w:left="720" w:right="100" w:hanging="363"/>
        <w:spacing w:after="0" w:line="318" w:lineRule="auto"/>
        <w:tabs>
          <w:tab w:leader="none" w:pos="7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5" w:lineRule="exact"/>
        <w:rPr>
          <w:rFonts w:ascii="Arial" w:cs="Arial" w:eastAsia="Arial" w:hAnsi="Arial"/>
          <w:sz w:val="19"/>
          <w:szCs w:val="19"/>
          <w:color w:val="auto"/>
        </w:rPr>
      </w:pPr>
    </w:p>
    <w:p>
      <w:pPr>
        <w:ind w:left="720" w:right="260" w:hanging="363"/>
        <w:spacing w:after="0" w:line="258"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7" w:lineRule="exact"/>
        <w:rPr>
          <w:rFonts w:ascii="Arial" w:cs="Arial" w:eastAsia="Arial" w:hAnsi="Arial"/>
          <w:sz w:val="22"/>
          <w:szCs w:val="22"/>
          <w:color w:val="auto"/>
        </w:rPr>
      </w:pPr>
    </w:p>
    <w:p>
      <w:pPr>
        <w:ind w:left="720" w:right="520" w:hanging="363"/>
        <w:spacing w:after="0" w:line="322"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collaborations may be terminated and, if terminated, may result in a need for additional capital to pursue further development or commercialization of the applicable product candidates; and</w:t>
      </w:r>
    </w:p>
    <w:p>
      <w:pPr>
        <w:spacing w:after="0" w:line="17" w:lineRule="exact"/>
        <w:rPr>
          <w:rFonts w:ascii="Arial" w:cs="Arial" w:eastAsia="Arial" w:hAnsi="Arial"/>
          <w:sz w:val="20"/>
          <w:szCs w:val="20"/>
          <w:color w:val="auto"/>
        </w:rPr>
      </w:pPr>
    </w:p>
    <w:p>
      <w:pPr>
        <w:ind w:left="720" w:right="480" w:hanging="363"/>
        <w:spacing w:after="0" w:line="258"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6"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As a result, if we enter into additional collaboration agreements and strategic partnerships or license our product candidates, we may not be able to realize the benefit of such transactions,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2" w:lineRule="exact"/>
        <w:rPr>
          <w:sz w:val="20"/>
          <w:szCs w:val="20"/>
          <w:color w:val="auto"/>
        </w:rPr>
      </w:pPr>
    </w:p>
    <w:p>
      <w:pPr>
        <w:ind w:right="200"/>
        <w:spacing w:after="0" w:line="289" w:lineRule="auto"/>
        <w:rPr>
          <w:sz w:val="20"/>
          <w:szCs w:val="20"/>
          <w:color w:val="auto"/>
        </w:rPr>
      </w:pPr>
      <w:r>
        <w:rPr>
          <w:rFonts w:ascii="Arial" w:cs="Arial" w:eastAsia="Arial" w:hAnsi="Arial"/>
          <w:sz w:val="20"/>
          <w:szCs w:val="20"/>
          <w:b w:val="1"/>
          <w:bCs w:val="1"/>
          <w:i w:val="1"/>
          <w:iCs w:val="1"/>
          <w:color w:val="auto"/>
        </w:rPr>
        <w:t>We currently rely and expect to rely in the future on the use of manufacturing suites in third-party facilities or third parties to manufacture our product candidates.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72" w:lineRule="exact"/>
        <w:rPr>
          <w:sz w:val="20"/>
          <w:szCs w:val="20"/>
          <w:color w:val="auto"/>
        </w:rPr>
      </w:pPr>
    </w:p>
    <w:p>
      <w:pPr>
        <w:ind w:right="100"/>
        <w:spacing w:after="0" w:line="318" w:lineRule="auto"/>
        <w:rPr>
          <w:sz w:val="20"/>
          <w:szCs w:val="20"/>
          <w:color w:val="auto"/>
        </w:rPr>
      </w:pPr>
      <w:r>
        <w:rPr>
          <w:rFonts w:ascii="Arial" w:cs="Arial" w:eastAsia="Arial" w:hAnsi="Arial"/>
          <w:sz w:val="19"/>
          <w:szCs w:val="19"/>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w:t>
      </w:r>
    </w:p>
    <w:p>
      <w:pPr>
        <w:spacing w:after="0" w:line="143" w:lineRule="exact"/>
        <w:rPr>
          <w:sz w:val="20"/>
          <w:szCs w:val="20"/>
          <w:color w:val="auto"/>
        </w:rPr>
      </w:pPr>
    </w:p>
    <w:p>
      <w:pPr>
        <w:ind w:right="180"/>
        <w:spacing w:after="0" w:line="271" w:lineRule="auto"/>
        <w:rPr>
          <w:sz w:val="20"/>
          <w:szCs w:val="20"/>
          <w:color w:val="auto"/>
        </w:rPr>
      </w:pPr>
      <w:r>
        <w:rPr>
          <w:rFonts w:ascii="Arial" w:cs="Arial" w:eastAsia="Arial" w:hAnsi="Arial"/>
          <w:sz w:val="22"/>
          <w:szCs w:val="22"/>
          <w:color w:val="auto"/>
        </w:rPr>
        <w:t>Our anticipated reliance on a limited number of third-party manufacturers exposes us to a number of risks, including the following:</w:t>
      </w:r>
    </w:p>
    <w:p>
      <w:pPr>
        <w:spacing w:after="0" w:line="64" w:lineRule="exact"/>
        <w:rPr>
          <w:sz w:val="20"/>
          <w:szCs w:val="20"/>
          <w:color w:val="auto"/>
        </w:rPr>
      </w:pPr>
    </w:p>
    <w:p>
      <w:pPr>
        <w:ind w:left="360" w:right="340" w:hanging="356"/>
        <w:spacing w:after="0" w:line="258" w:lineRule="auto"/>
        <w:tabs>
          <w:tab w:leader="none" w:pos="3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we may be unable to identify manufacturers on acceptable terms or at all because the number of potential manufacturers is limited and the FDA must inspect any manufacturers for current cGMP compliance as part of our marketing application;</w:t>
      </w:r>
    </w:p>
    <w:p>
      <w:pPr>
        <w:spacing w:after="0" w:line="77" w:lineRule="exact"/>
        <w:rPr>
          <w:rFonts w:ascii="Arial" w:cs="Arial" w:eastAsia="Arial" w:hAnsi="Arial"/>
          <w:sz w:val="22"/>
          <w:szCs w:val="22"/>
          <w:color w:val="auto"/>
        </w:rPr>
      </w:pPr>
    </w:p>
    <w:p>
      <w:pPr>
        <w:ind w:left="360" w:right="920" w:hanging="356"/>
        <w:spacing w:after="0" w:line="271" w:lineRule="auto"/>
        <w:tabs>
          <w:tab w:leader="none" w:pos="3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new manufacturer would have to be educated in, or develop substantially equivalent processes for, the production of our product candidates;</w:t>
      </w:r>
    </w:p>
    <w:p>
      <w:pPr>
        <w:spacing w:after="0" w:line="63" w:lineRule="exact"/>
        <w:rPr>
          <w:rFonts w:ascii="Arial" w:cs="Arial" w:eastAsia="Arial" w:hAnsi="Arial"/>
          <w:sz w:val="22"/>
          <w:szCs w:val="22"/>
          <w:color w:val="auto"/>
        </w:rPr>
      </w:pPr>
    </w:p>
    <w:p>
      <w:pPr>
        <w:ind w:left="360" w:right="620" w:hanging="356"/>
        <w:spacing w:after="0" w:line="271" w:lineRule="auto"/>
        <w:tabs>
          <w:tab w:leader="none" w:pos="3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our third-party manufacturers might be unable to timely manufacture our product candidates or produce the quantity and quality required to meet our clinical and commercial needs, if any;</w:t>
      </w:r>
    </w:p>
    <w:p>
      <w:pPr>
        <w:spacing w:after="0" w:line="63" w:lineRule="exact"/>
        <w:rPr>
          <w:rFonts w:ascii="Arial" w:cs="Arial" w:eastAsia="Arial" w:hAnsi="Arial"/>
          <w:sz w:val="22"/>
          <w:szCs w:val="22"/>
          <w:color w:val="auto"/>
        </w:rPr>
      </w:pPr>
    </w:p>
    <w:p>
      <w:pPr>
        <w:ind w:left="360" w:right="480" w:hanging="356"/>
        <w:spacing w:after="0" w:line="271" w:lineRule="auto"/>
        <w:tabs>
          <w:tab w:leader="none" w:pos="3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contract manufacturers may not be able to execute our manufacturing procedures and other logistical support requirements appropriately;</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240"/>
          </w:cols>
          <w:pgMar w:left="820" w:top="678" w:right="820" w:bottom="0" w:gutter="0" w:footer="0" w:header="0"/>
          <w:type w:val="continuous"/>
        </w:sectPr>
      </w:pPr>
    </w:p>
    <w:bookmarkStart w:id="99" w:name="page100"/>
    <w:bookmarkEnd w:id="99"/>
    <w:p>
      <w:pPr>
        <w:jc w:val="both"/>
        <w:ind w:left="360" w:right="140" w:hanging="356"/>
        <w:spacing w:after="0" w:line="296" w:lineRule="auto"/>
        <w:tabs>
          <w:tab w:leader="none" w:pos="3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42" w:lineRule="exact"/>
        <w:rPr>
          <w:rFonts w:ascii="Arial" w:cs="Arial" w:eastAsia="Arial" w:hAnsi="Arial"/>
          <w:sz w:val="20"/>
          <w:szCs w:val="20"/>
          <w:color w:val="auto"/>
        </w:rPr>
      </w:pPr>
    </w:p>
    <w:p>
      <w:pPr>
        <w:ind w:left="360" w:right="380" w:hanging="356"/>
        <w:spacing w:after="0" w:line="254" w:lineRule="auto"/>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81" w:lineRule="exact"/>
        <w:rPr>
          <w:rFonts w:ascii="Arial" w:cs="Arial" w:eastAsia="Arial" w:hAnsi="Arial"/>
          <w:sz w:val="22"/>
          <w:szCs w:val="22"/>
          <w:color w:val="auto"/>
        </w:rPr>
      </w:pPr>
    </w:p>
    <w:p>
      <w:pPr>
        <w:ind w:left="360" w:right="260" w:hanging="356"/>
        <w:spacing w:after="0" w:line="271" w:lineRule="auto"/>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we may not own, or may have to share, the intellectual property rights to any improvements made by our third-party manufacturers in the manufacturing process for our product candidates;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our third-party manufacturers could breach or terminate their agreements with us;</w:t>
      </w:r>
    </w:p>
    <w:p>
      <w:pPr>
        <w:spacing w:after="0" w:line="123" w:lineRule="exact"/>
        <w:rPr>
          <w:rFonts w:ascii="Arial" w:cs="Arial" w:eastAsia="Arial" w:hAnsi="Arial"/>
          <w:sz w:val="22"/>
          <w:szCs w:val="22"/>
          <w:color w:val="auto"/>
        </w:rPr>
      </w:pPr>
    </w:p>
    <w:p>
      <w:pPr>
        <w:ind w:left="360" w:hanging="356"/>
        <w:spacing w:after="0" w:line="258" w:lineRule="auto"/>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77" w:lineRule="exact"/>
        <w:rPr>
          <w:rFonts w:ascii="Arial" w:cs="Arial" w:eastAsia="Arial" w:hAnsi="Arial"/>
          <w:sz w:val="22"/>
          <w:szCs w:val="22"/>
          <w:color w:val="auto"/>
        </w:rPr>
      </w:pPr>
    </w:p>
    <w:p>
      <w:pPr>
        <w:ind w:left="360" w:right="180" w:hanging="356"/>
        <w:spacing w:after="0" w:line="271" w:lineRule="auto"/>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our contract manufacturers and critical reagent suppliers may be subject to inclement weather, as well as natural or man-made disasters;</w:t>
      </w:r>
    </w:p>
    <w:p>
      <w:pPr>
        <w:spacing w:after="0" w:line="63" w:lineRule="exact"/>
        <w:rPr>
          <w:rFonts w:ascii="Arial" w:cs="Arial" w:eastAsia="Arial" w:hAnsi="Arial"/>
          <w:sz w:val="22"/>
          <w:szCs w:val="22"/>
          <w:color w:val="auto"/>
        </w:rPr>
      </w:pPr>
    </w:p>
    <w:p>
      <w:pPr>
        <w:ind w:left="360" w:right="220" w:hanging="356"/>
        <w:spacing w:after="0" w:line="271" w:lineRule="auto"/>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our contract manufacturers may be impacted by economic or geopolitical disruptions or global health concerns; and</w:t>
      </w:r>
    </w:p>
    <w:p>
      <w:pPr>
        <w:spacing w:after="0" w:line="63" w:lineRule="exact"/>
        <w:rPr>
          <w:rFonts w:ascii="Arial" w:cs="Arial" w:eastAsia="Arial" w:hAnsi="Arial"/>
          <w:sz w:val="22"/>
          <w:szCs w:val="22"/>
          <w:color w:val="auto"/>
        </w:rPr>
      </w:pPr>
    </w:p>
    <w:p>
      <w:pPr>
        <w:jc w:val="both"/>
        <w:ind w:left="360" w:right="260" w:hanging="356"/>
        <w:spacing w:after="0" w:line="258" w:lineRule="auto"/>
        <w:tabs>
          <w:tab w:leader="none" w:pos="3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96"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color w:val="auto"/>
        </w:rPr>
        <w:t>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could be restricted due to geopolitical developments between the United States and China, including as a result of the escalation of tariffs or other trade restrictions or the enactment of the BIOSECURE Act or similar legislation.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For instance, if our, our collaborators’, or other third parties’ China-based suppliers or service providers were named as a “biotechnology company of concern,” such designation could have the downstream effect of restricting our ability to enter into contracts with or receive funding from U.S. federal agencies from purchasing services or equipment involving the use of those Chinese biotechnology companies, as well as supply chain disruptions or delays. In any such circumstances, we may not be able to engage a backup or alternative supplier or service provider in a timely manner or at all. This, in turn, could materially and adversely affect our or our collaborators’ ability to manufacture or supply product candidates or advance our clinical development programs, which could materially and adversely affect our business and future prospects.</w:t>
      </w:r>
    </w:p>
    <w:p>
      <w:pPr>
        <w:spacing w:after="0" w:line="186" w:lineRule="exact"/>
        <w:rPr>
          <w:sz w:val="20"/>
          <w:szCs w:val="20"/>
          <w:color w:val="auto"/>
        </w:rPr>
      </w:pPr>
    </w:p>
    <w:p>
      <w:pPr>
        <w:ind w:right="40"/>
        <w:spacing w:after="0" w:line="301" w:lineRule="auto"/>
        <w:rPr>
          <w:sz w:val="20"/>
          <w:szCs w:val="20"/>
          <w:color w:val="auto"/>
        </w:rPr>
      </w:pPr>
      <w:r>
        <w:rPr>
          <w:rFonts w:ascii="Arial" w:cs="Arial" w:eastAsia="Arial" w:hAnsi="Arial"/>
          <w:sz w:val="19"/>
          <w:szCs w:val="19"/>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49" w:lineRule="exact"/>
        <w:rPr>
          <w:sz w:val="20"/>
          <w:szCs w:val="20"/>
          <w:color w:val="auto"/>
        </w:rPr>
      </w:pPr>
    </w:p>
    <w:p>
      <w:pPr>
        <w:jc w:val="both"/>
        <w:ind w:right="220"/>
        <w:spacing w:after="0" w:line="299" w:lineRule="auto"/>
        <w:rPr>
          <w:sz w:val="20"/>
          <w:szCs w:val="20"/>
          <w:color w:val="auto"/>
        </w:rPr>
      </w:pPr>
      <w:r>
        <w:rPr>
          <w:rFonts w:ascii="Arial" w:cs="Arial" w:eastAsia="Arial" w:hAnsi="Arial"/>
          <w:sz w:val="20"/>
          <w:szCs w:val="20"/>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200"/>
          </w:cols>
          <w:pgMar w:left="820" w:top="678" w:right="860" w:bottom="0" w:gutter="0" w:footer="0" w:header="0"/>
          <w:type w:val="continuous"/>
        </w:sectPr>
      </w:pPr>
    </w:p>
    <w:bookmarkStart w:id="100" w:name="page101"/>
    <w:bookmarkEnd w:id="100"/>
    <w:p>
      <w:pPr>
        <w:ind w:right="20"/>
        <w:spacing w:after="0" w:line="289" w:lineRule="auto"/>
        <w:rPr>
          <w:sz w:val="20"/>
          <w:szCs w:val="20"/>
          <w:color w:val="auto"/>
        </w:rPr>
      </w:pPr>
      <w:r>
        <w:rPr>
          <w:rFonts w:ascii="Arial" w:cs="Arial" w:eastAsia="Arial" w:hAnsi="Arial"/>
          <w:sz w:val="19"/>
          <w:szCs w:val="19"/>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64"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b w:val="1"/>
          <w:bCs w:val="1"/>
          <w:i w:val="1"/>
          <w:iCs w:val="1"/>
          <w:color w:val="auto"/>
        </w:rPr>
        <w:t>If our third-party manufacturers use hazardous and biological materials in a manner that causes injury or violates applicable law, we may be liable for damages.</w:t>
      </w:r>
    </w:p>
    <w:p>
      <w:pPr>
        <w:spacing w:after="0" w:line="18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managing growth and employee matters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our employee matters</w:t>
      </w:r>
    </w:p>
    <w:p>
      <w:pPr>
        <w:spacing w:after="0" w:line="231" w:lineRule="exact"/>
        <w:rPr>
          <w:sz w:val="20"/>
          <w:szCs w:val="20"/>
          <w:color w:val="auto"/>
        </w:rPr>
      </w:pPr>
    </w:p>
    <w:p>
      <w:pPr>
        <w:ind w:right="20"/>
        <w:spacing w:after="0" w:line="328" w:lineRule="auto"/>
        <w:rPr>
          <w:sz w:val="20"/>
          <w:szCs w:val="20"/>
          <w:color w:val="auto"/>
        </w:rPr>
      </w:pPr>
      <w:r>
        <w:rPr>
          <w:rFonts w:ascii="Arial" w:cs="Arial" w:eastAsia="Arial" w:hAnsi="Arial"/>
          <w:sz w:val="20"/>
          <w:szCs w:val="20"/>
          <w:b w:val="1"/>
          <w:bCs w:val="1"/>
          <w:i w:val="1"/>
          <w:iCs w:val="1"/>
          <w:color w:val="auto"/>
        </w:rPr>
        <w:t>We are highly dependent on our key personnel. If we are not successful in attracting and retaining highly qualified personnel, we may not be able to successfully implement our business strategy.</w:t>
      </w:r>
    </w:p>
    <w:p>
      <w:pPr>
        <w:spacing w:after="0" w:line="134" w:lineRule="exact"/>
        <w:rPr>
          <w:sz w:val="20"/>
          <w:szCs w:val="20"/>
          <w:color w:val="auto"/>
        </w:rPr>
      </w:pPr>
    </w:p>
    <w:p>
      <w:pPr>
        <w:ind w:right="60"/>
        <w:spacing w:after="0" w:line="276" w:lineRule="auto"/>
        <w:rPr>
          <w:sz w:val="20"/>
          <w:szCs w:val="20"/>
          <w:color w:val="auto"/>
        </w:rPr>
      </w:pPr>
      <w:r>
        <w:rPr>
          <w:rFonts w:ascii="Arial" w:cs="Arial" w:eastAsia="Arial" w:hAnsi="Arial"/>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President and Chief Executive Officer, Chief Scientific Officer, Chief Development Officer, Chief Medical Officer, Chief Operating Officer and General Counsel, and Senior Vice President of Finance and Principal Financial and Accounting Officer.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240"/>
          </w:cols>
          <w:pgMar w:left="820" w:top="678" w:right="820" w:bottom="0" w:gutter="0" w:footer="0" w:header="0"/>
          <w:type w:val="continuous"/>
        </w:sectPr>
      </w:pPr>
    </w:p>
    <w:bookmarkStart w:id="101" w:name="page102"/>
    <w:bookmarkEnd w:id="101"/>
    <w:p>
      <w:pPr>
        <w:spacing w:after="0" w:line="295" w:lineRule="auto"/>
        <w:rPr>
          <w:sz w:val="20"/>
          <w:szCs w:val="20"/>
          <w:color w:val="auto"/>
        </w:rPr>
      </w:pPr>
      <w:r>
        <w:rPr>
          <w:rFonts w:ascii="Arial" w:cs="Arial" w:eastAsia="Arial" w:hAnsi="Arial"/>
          <w:sz w:val="19"/>
          <w:szCs w:val="19"/>
          <w:color w:val="auto"/>
        </w:rPr>
        <w:t>Our principal office is located in Cambridge, MA.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166"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Our success also depends on our ability to continue to attract, retain and motivate highly skilled junior, mid-level and senior managers as well as junior, mid-level and senior scientific and medical personnel.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our business operations and growth</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need to grow the size of our organization, and we may experience difficulties in managing this growth.</w:t>
      </w:r>
    </w:p>
    <w:p>
      <w:pPr>
        <w:spacing w:after="0" w:line="2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of December 31, 2025, we had 21 full-time employees. We may hire new employees to conduct our development activities in the future. Any delay in hiring such new employees could result in delays in our research and development activities and would harm our business. As our development and commercialization plans and strategies develop, we expect to need additional managerial, operational, sales, marketing, financial and other personnel to expand our operations. Future growth would impose significant added responsibilities on members of management, including:</w:t>
      </w:r>
    </w:p>
    <w:p>
      <w:pPr>
        <w:spacing w:after="0" w:line="89" w:lineRule="exact"/>
        <w:rPr>
          <w:sz w:val="20"/>
          <w:szCs w:val="20"/>
          <w:color w:val="auto"/>
        </w:rPr>
      </w:pPr>
    </w:p>
    <w:p>
      <w:pPr>
        <w:ind w:left="360" w:hanging="356"/>
        <w:spacing w:after="0"/>
        <w:tabs>
          <w:tab w:leader="none" w:pos="3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identifying, recruiting, integrating, maintaining and motivating additional employees;</w:t>
      </w:r>
    </w:p>
    <w:p>
      <w:pPr>
        <w:spacing w:after="0" w:line="123" w:lineRule="exact"/>
        <w:rPr>
          <w:rFonts w:ascii="Arial" w:cs="Arial" w:eastAsia="Arial" w:hAnsi="Arial"/>
          <w:sz w:val="22"/>
          <w:szCs w:val="22"/>
          <w:color w:val="auto"/>
        </w:rPr>
      </w:pPr>
    </w:p>
    <w:p>
      <w:pPr>
        <w:ind w:left="360" w:right="200" w:hanging="356"/>
        <w:spacing w:after="0" w:line="348" w:lineRule="auto"/>
        <w:tabs>
          <w:tab w:leader="none" w:pos="3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 w:lineRule="exact"/>
        <w:rPr>
          <w:rFonts w:ascii="Arial" w:cs="Arial" w:eastAsia="Arial" w:hAnsi="Arial"/>
          <w:sz w:val="19"/>
          <w:szCs w:val="19"/>
          <w:color w:val="auto"/>
        </w:rPr>
      </w:pPr>
    </w:p>
    <w:p>
      <w:pPr>
        <w:ind w:left="360" w:hanging="356"/>
        <w:spacing w:after="0"/>
        <w:tabs>
          <w:tab w:leader="none" w:pos="3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improving our operational, financial and management controls, reporting systems and procedures.</w:t>
      </w: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99"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We currently rely, and for the foreseeable future will continue to rely, in substantial part on certain independent organizations, advisors and consultants to provide certain services, including substantially all aspects of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ectPr>
          <w:pgSz w:w="11880" w:h="15480" w:orient="portrait"/>
          <w:cols w:equalWidth="0" w:num="1">
            <w:col w:w="10160"/>
          </w:cols>
          <w:pgMar w:left="820" w:top="678" w:right="90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160"/>
          </w:cols>
          <w:pgMar w:left="820" w:top="678" w:right="900" w:bottom="0" w:gutter="0" w:footer="0" w:header="0"/>
          <w:type w:val="continuous"/>
        </w:sectPr>
      </w:pPr>
    </w:p>
    <w:bookmarkStart w:id="102" w:name="page103"/>
    <w:bookmarkEnd w:id="102"/>
    <w:p>
      <w:pPr>
        <w:spacing w:after="0" w:line="261" w:lineRule="auto"/>
        <w:rPr>
          <w:sz w:val="20"/>
          <w:szCs w:val="20"/>
          <w:color w:val="auto"/>
        </w:rPr>
      </w:pPr>
      <w:r>
        <w:rPr>
          <w:rFonts w:ascii="Arial" w:cs="Arial" w:eastAsia="Arial" w:hAnsi="Arial"/>
          <w:sz w:val="22"/>
          <w:szCs w:val="22"/>
          <w:b w:val="1"/>
          <w:bCs w:val="1"/>
          <w:i w:val="1"/>
          <w:iCs w:val="1"/>
          <w:color w:val="auto"/>
        </w:rPr>
        <w:t>Our internal computer systems, or those used by our third-party CROs or other contractors or consultants, may fail or suffer security breaches, which could result in a material disruption of the development programs of our product candidates.</w:t>
      </w:r>
    </w:p>
    <w:p>
      <w:pPr>
        <w:spacing w:after="0" w:line="196"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Despite the implementation of security measures, given their size and complexity and the increasing amounts of confidential information that they maintain, our internal computer systems and those of our current and future CROs, vendors and other contractors and consultants may be vulnerable to breakdown or other damage from computer viruses, unauthorized access, natural disasters, terrorism, war and telecommunication and electrical failures. Furthermore, the use of artificial intelligence (AI) technologies by use and third-party vendors can also give rise to cybersecurity risks as well as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AI tools. Any of these effects could damage our reputation, result in the loss of valuable property and information, cause us to breach applicable laws and regulations, and adversely impact our business. While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data from completed or future preclinical studies and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22"/>
          <w:szCs w:val="22"/>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ind w:right="220"/>
        <w:spacing w:after="0" w:line="276" w:lineRule="auto"/>
        <w:rPr>
          <w:sz w:val="20"/>
          <w:szCs w:val="20"/>
          <w:color w:val="auto"/>
        </w:rPr>
      </w:pPr>
      <w:r>
        <w:rPr>
          <w:rFonts w:ascii="Arial" w:cs="Arial" w:eastAsia="Arial" w:hAnsi="Arial"/>
          <w:sz w:val="20"/>
          <w:szCs w:val="20"/>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6" w:lineRule="exact"/>
        <w:rPr>
          <w:sz w:val="20"/>
          <w:szCs w:val="20"/>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decreased demand for our product candidates or products that we may develop;</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injury to our reputation;</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withdrawal of clinical trial participants;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initiation of investigations by regulators;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costs to defend the related litigation;</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diversion of management’s time and our resources;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substantial monetary awards to trial participants or patients;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product recalls, withdrawals or labeling, marketing or promotional restrictions;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loss of revenue;</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exhaustion of any available insurance and our capital resources;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inability to commercialize any product candidate; and</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decline in our share price.</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220"/>
          </w:cols>
          <w:pgMar w:left="820" w:top="668" w:right="840" w:bottom="0" w:gutter="0" w:footer="0" w:header="0"/>
          <w:type w:val="continuous"/>
        </w:sectPr>
      </w:pPr>
    </w:p>
    <w:bookmarkStart w:id="103" w:name="page104"/>
    <w:bookmarkEnd w:id="103"/>
    <w:p>
      <w:pPr>
        <w:spacing w:after="0" w:line="277" w:lineRule="auto"/>
        <w:rPr>
          <w:sz w:val="20"/>
          <w:szCs w:val="20"/>
          <w:color w:val="auto"/>
        </w:rPr>
      </w:pPr>
      <w:r>
        <w:rPr>
          <w:rFonts w:ascii="Arial" w:cs="Arial" w:eastAsia="Arial" w:hAnsi="Arial"/>
          <w:sz w:val="20"/>
          <w:szCs w:val="20"/>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increasing use of social media platforms presents risks and challenges.</w:t>
      </w:r>
    </w:p>
    <w:p>
      <w:pPr>
        <w:spacing w:after="0" w:line="250" w:lineRule="exact"/>
        <w:rPr>
          <w:sz w:val="20"/>
          <w:szCs w:val="20"/>
          <w:color w:val="auto"/>
        </w:rPr>
      </w:pPr>
    </w:p>
    <w:p>
      <w:pPr>
        <w:ind w:right="80"/>
        <w:spacing w:after="0" w:line="291" w:lineRule="auto"/>
        <w:rPr>
          <w:sz w:val="20"/>
          <w:szCs w:val="20"/>
          <w:color w:val="auto"/>
        </w:rPr>
      </w:pPr>
      <w:r>
        <w:rPr>
          <w:rFonts w:ascii="Arial" w:cs="Arial" w:eastAsia="Arial" w:hAnsi="Arial"/>
          <w:sz w:val="19"/>
          <w:szCs w:val="19"/>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spacing w:after="0" w:line="173"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spacing w:after="0" w:line="146" w:lineRule="exact"/>
        <w:rPr>
          <w:sz w:val="20"/>
          <w:szCs w:val="20"/>
          <w:color w:val="auto"/>
        </w:rPr>
      </w:pPr>
    </w:p>
    <w:p>
      <w:pPr>
        <w:ind w:right="400"/>
        <w:spacing w:after="0" w:line="276" w:lineRule="auto"/>
        <w:rPr>
          <w:sz w:val="20"/>
          <w:szCs w:val="20"/>
          <w:color w:val="auto"/>
        </w:rPr>
      </w:pPr>
      <w:r>
        <w:rPr>
          <w:rFonts w:ascii="Arial" w:cs="Arial" w:eastAsia="Arial" w:hAnsi="Arial"/>
          <w:sz w:val="22"/>
          <w:szCs w:val="22"/>
          <w:b w:val="1"/>
          <w:bCs w:val="1"/>
          <w:i w:val="1"/>
          <w:iCs w:val="1"/>
          <w:color w:val="auto"/>
        </w:rPr>
        <w:t>We may fail to realize some or all of the anticipated benefits of the contribution of assets and license to Revelio Therapeutics, Inc.</w:t>
      </w:r>
    </w:p>
    <w:p>
      <w:pPr>
        <w:spacing w:after="0" w:line="180" w:lineRule="exact"/>
        <w:rPr>
          <w:sz w:val="20"/>
          <w:szCs w:val="20"/>
          <w:color w:val="auto"/>
        </w:rPr>
      </w:pPr>
    </w:p>
    <w:p>
      <w:pPr>
        <w:ind w:right="240"/>
        <w:spacing w:after="0" w:line="296" w:lineRule="auto"/>
        <w:rPr>
          <w:sz w:val="20"/>
          <w:szCs w:val="20"/>
          <w:color w:val="auto"/>
        </w:rPr>
      </w:pPr>
      <w:r>
        <w:rPr>
          <w:rFonts w:ascii="Arial" w:cs="Arial" w:eastAsia="Arial" w:hAnsi="Arial"/>
          <w:sz w:val="20"/>
          <w:szCs w:val="20"/>
          <w:color w:val="auto"/>
        </w:rPr>
        <w:t>The anticipated financial, strategic and other benefits of our contribution to Revelio Therapeutics, Inc. (Revelio), formerly known as Launchpad Therapeutics, Inc., of certain early discovery-stage antibody programs and license to our MAP drug discovery engine for certain large molecule therapies may not be achieved.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tax</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utilize our net operating loss carryforwards and certain other tax attributes may be limited.</w:t>
      </w:r>
    </w:p>
    <w:p>
      <w:pPr>
        <w:spacing w:after="0" w:line="273" w:lineRule="exact"/>
        <w:rPr>
          <w:sz w:val="20"/>
          <w:szCs w:val="20"/>
          <w:color w:val="auto"/>
        </w:rPr>
      </w:pPr>
    </w:p>
    <w:p>
      <w:pPr>
        <w:ind w:right="80"/>
        <w:spacing w:after="0" w:line="275" w:lineRule="auto"/>
        <w:rPr>
          <w:sz w:val="20"/>
          <w:szCs w:val="20"/>
          <w:color w:val="auto"/>
        </w:rPr>
      </w:pPr>
      <w:r>
        <w:rPr>
          <w:rFonts w:ascii="Arial" w:cs="Arial" w:eastAsia="Arial" w:hAnsi="Arial"/>
          <w:sz w:val="20"/>
          <w:szCs w:val="20"/>
          <w:color w:val="auto"/>
        </w:rPr>
        <w:t>Under Sections 382 and 383 of the Internal Revenue Code of 1986, as amended (IRC),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and other transactions that have occurred over the past three years, we may have experienced, and may experience, an “ownership change.” We may also experience ownership changes in the future as a result of subsequent shifts in our stock ownership. As of December 31, 2025, we had gross U.S. federal net operating loss carryforwards of $322 million, state net operating loss carryforwards of $221 million and U.S. federal research and development tax credit carryforwards of $13 million, each of which will begin to expire at various dates through 2045 and which could be limited if we experience an “ownership change.”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investments in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price of our stock is volatile, and you could lose all or part of your investment.</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10220"/>
          </w:cols>
          <w:pgMar w:left="820" w:top="678" w:right="840" w:bottom="0" w:gutter="0" w:footer="0" w:header="0"/>
          <w:type w:val="continuous"/>
        </w:sectPr>
      </w:pPr>
    </w:p>
    <w:bookmarkStart w:id="104" w:name="page105"/>
    <w:bookmarkEnd w:id="104"/>
    <w:p>
      <w:pPr>
        <w:ind w:right="40"/>
        <w:spacing w:after="0" w:line="254" w:lineRule="auto"/>
        <w:rPr>
          <w:sz w:val="20"/>
          <w:szCs w:val="20"/>
          <w:color w:val="auto"/>
        </w:rPr>
      </w:pPr>
      <w:r>
        <w:rPr>
          <w:rFonts w:ascii="Arial" w:cs="Arial" w:eastAsia="Arial" w:hAnsi="Arial"/>
          <w:sz w:val="22"/>
          <w:szCs w:val="22"/>
          <w:color w:val="auto"/>
        </w:rPr>
        <w:t>Similar to the trading prices of the common stock of other biopharmaceutical companies, the trading price of our common stock is subject to wide fluctuations in response to various factors, some of which are beyond our control, including limited trading volume. In addition to the factors discussed in this “Risk Factors” section and elsewhere in this Annual Report, these factors include:</w:t>
      </w:r>
    </w:p>
    <w:p>
      <w:pPr>
        <w:spacing w:after="0" w:line="82" w:lineRule="exact"/>
        <w:rPr>
          <w:sz w:val="20"/>
          <w:szCs w:val="20"/>
          <w:color w:val="auto"/>
        </w:rPr>
      </w:pPr>
    </w:p>
    <w:p>
      <w:pPr>
        <w:ind w:left="360" w:right="62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results of our ongoing, planned or any future preclinical studies, clinical trials or clinical development programs;</w:t>
      </w:r>
    </w:p>
    <w:p>
      <w:pPr>
        <w:spacing w:after="0" w:line="63" w:lineRule="exact"/>
        <w:rPr>
          <w:rFonts w:ascii="Arial" w:cs="Arial" w:eastAsia="Arial" w:hAnsi="Arial"/>
          <w:sz w:val="22"/>
          <w:szCs w:val="22"/>
          <w:color w:val="auto"/>
        </w:rPr>
      </w:pPr>
    </w:p>
    <w:p>
      <w:pPr>
        <w:ind w:left="360" w:right="10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commencement, enrollment, or results of clinical trials of our product candidates or any future clinical trials we may conduct, or changes in the development status of our product candidates;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adverse results or delays in preclinical studies and clinical trials;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our decision to initiate a clinical trial, not to initiate a clinical trial, or to terminate an existing clinical trial;</w:t>
      </w:r>
    </w:p>
    <w:p>
      <w:pPr>
        <w:spacing w:after="0" w:line="146" w:lineRule="exact"/>
        <w:rPr>
          <w:rFonts w:ascii="Arial" w:cs="Arial" w:eastAsia="Arial" w:hAnsi="Arial"/>
          <w:sz w:val="20"/>
          <w:szCs w:val="20"/>
          <w:color w:val="auto"/>
        </w:rPr>
      </w:pPr>
    </w:p>
    <w:p>
      <w:pPr>
        <w:ind w:left="360" w:right="30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delay in our regulatory filings or any adverse regulatory decisions, including failure to receive regulatory approval of our product candidates;</w:t>
      </w:r>
    </w:p>
    <w:p>
      <w:pPr>
        <w:spacing w:after="0" w:line="63" w:lineRule="exact"/>
        <w:rPr>
          <w:rFonts w:ascii="Arial" w:cs="Arial" w:eastAsia="Arial" w:hAnsi="Arial"/>
          <w:sz w:val="22"/>
          <w:szCs w:val="22"/>
          <w:color w:val="auto"/>
        </w:rPr>
      </w:pPr>
    </w:p>
    <w:p>
      <w:pPr>
        <w:ind w:left="360" w:right="8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changes in laws or regulations applicable to our products, including but not limited to clinical trial requirements for approvals;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adverse developments concerning our manufacturers or our manufacturing plans;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our inability to obtain adequate product supply for any licensed product or inability to do so at acceptable prices;</w:t>
      </w:r>
    </w:p>
    <w:p>
      <w:pPr>
        <w:spacing w:after="0" w:line="157" w:lineRule="exact"/>
        <w:rPr>
          <w:rFonts w:ascii="Arial" w:cs="Arial" w:eastAsia="Arial" w:hAnsi="Arial"/>
          <w:sz w:val="19"/>
          <w:szCs w:val="19"/>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our inability to establish collaborations if needed;</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our failure to commercialize our product candidates;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additions or departures of key scientific or management personnel;</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unanticipated serious safety concerns related to the use of our product candidates;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introduction of new products or services offered by us or our competitors;</w:t>
      </w:r>
    </w:p>
    <w:p>
      <w:pPr>
        <w:spacing w:after="0" w:line="123" w:lineRule="exact"/>
        <w:rPr>
          <w:rFonts w:ascii="Arial" w:cs="Arial" w:eastAsia="Arial" w:hAnsi="Arial"/>
          <w:sz w:val="22"/>
          <w:szCs w:val="22"/>
          <w:color w:val="auto"/>
        </w:rPr>
      </w:pPr>
    </w:p>
    <w:p>
      <w:pPr>
        <w:ind w:left="360" w:right="2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announcements of significant acquisitions, strategic partnerships, joint ventures or capital commitments by us or our competitors;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our ability to effectively manage our growth;</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size and growth of our initial cancer target markets;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our ability to successfully treat additional types of cancers or at different stages;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actual or anticipated variations in quarterly operating results;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our cash position;</w:t>
      </w:r>
    </w:p>
    <w:p>
      <w:pPr>
        <w:spacing w:after="0" w:line="123" w:lineRule="exact"/>
        <w:rPr>
          <w:rFonts w:ascii="Arial" w:cs="Arial" w:eastAsia="Arial" w:hAnsi="Arial"/>
          <w:sz w:val="22"/>
          <w:szCs w:val="22"/>
          <w:color w:val="auto"/>
        </w:rPr>
      </w:pPr>
    </w:p>
    <w:p>
      <w:pPr>
        <w:ind w:left="360" w:right="4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our failure to meet the estimates and projections of the investment community or that we may otherwise provide to the public;</w:t>
      </w:r>
    </w:p>
    <w:p>
      <w:pPr>
        <w:spacing w:after="0" w:line="63" w:lineRule="exact"/>
        <w:rPr>
          <w:rFonts w:ascii="Arial" w:cs="Arial" w:eastAsia="Arial" w:hAnsi="Arial"/>
          <w:sz w:val="22"/>
          <w:szCs w:val="22"/>
          <w:color w:val="auto"/>
        </w:rPr>
      </w:pPr>
    </w:p>
    <w:p>
      <w:pPr>
        <w:ind w:left="360" w:right="14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publication of research reports about us or our industry, or immunotherapy in particular, or positive or negative recommendations or withdrawal of research coverage by securities analysts;</w:t>
      </w:r>
    </w:p>
    <w:p>
      <w:pPr>
        <w:spacing w:after="0" w:line="6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changes in the market valuations of similar companies;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overall performance of the equity markets;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sales of our common stock by us or our stockholders in the future;</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trading volume of our common stock;</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changes in accounting practices;</w:t>
      </w:r>
    </w:p>
    <w:p>
      <w:pPr>
        <w:spacing w:after="0" w:line="123" w:lineRule="exact"/>
        <w:rPr>
          <w:rFonts w:ascii="Arial" w:cs="Arial" w:eastAsia="Arial" w:hAnsi="Arial"/>
          <w:sz w:val="22"/>
          <w:szCs w:val="22"/>
          <w:color w:val="auto"/>
        </w:rPr>
      </w:pPr>
    </w:p>
    <w:p>
      <w:pPr>
        <w:ind w:left="360" w:hanging="356"/>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ineffectiveness of our internal controls;</w:t>
      </w:r>
    </w:p>
    <w:p>
      <w:pPr>
        <w:spacing w:after="0" w:line="123" w:lineRule="exact"/>
        <w:rPr>
          <w:rFonts w:ascii="Arial" w:cs="Arial" w:eastAsia="Arial" w:hAnsi="Arial"/>
          <w:sz w:val="22"/>
          <w:szCs w:val="22"/>
          <w:color w:val="auto"/>
        </w:rPr>
      </w:pPr>
    </w:p>
    <w:p>
      <w:pPr>
        <w:ind w:left="360" w:right="40" w:hanging="356"/>
        <w:spacing w:after="0" w:line="271" w:lineRule="auto"/>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disputes or other developments relating to intellectual property or proprietary rights, including patents, litigation matters and our ability to obtain patent protection for our technologies;</w:t>
      </w:r>
    </w:p>
    <w:p>
      <w:pPr>
        <w:sectPr>
          <w:pgSz w:w="11880" w:h="15480" w:orient="portrait"/>
          <w:cols w:equalWidth="0" w:num="1">
            <w:col w:w="10080"/>
          </w:cols>
          <w:pgMar w:left="820" w:top="678" w:right="98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10080"/>
          </w:cols>
          <w:pgMar w:left="820" w:top="678" w:right="980" w:bottom="0" w:gutter="0" w:footer="0" w:header="0"/>
          <w:type w:val="continuous"/>
        </w:sectPr>
      </w:pPr>
    </w:p>
    <w:bookmarkStart w:id="105" w:name="page106"/>
    <w:bookmarkEnd w:id="105"/>
    <w:p>
      <w:pPr>
        <w:ind w:left="360" w:hanging="356"/>
        <w:spacing w:after="0"/>
        <w:tabs>
          <w:tab w:leader="none" w:pos="3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significant lawsuits, including intellectual property or stockholder litigation;</w:t>
      </w:r>
    </w:p>
    <w:p>
      <w:pPr>
        <w:spacing w:after="0" w:line="123" w:lineRule="exact"/>
        <w:rPr>
          <w:rFonts w:ascii="Arial" w:cs="Arial" w:eastAsia="Arial" w:hAnsi="Arial"/>
          <w:sz w:val="22"/>
          <w:szCs w:val="22"/>
          <w:color w:val="auto"/>
        </w:rPr>
      </w:pPr>
    </w:p>
    <w:p>
      <w:pPr>
        <w:ind w:left="360" w:right="340" w:hanging="356"/>
        <w:spacing w:after="0" w:line="283"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general geopolitical, industry and macroeconomic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w:t>
      </w:r>
    </w:p>
    <w:p>
      <w:pPr>
        <w:spacing w:after="0" w:line="55" w:lineRule="exact"/>
        <w:rPr>
          <w:rFonts w:ascii="Arial" w:cs="Arial" w:eastAsia="Arial" w:hAnsi="Arial"/>
          <w:sz w:val="20"/>
          <w:szCs w:val="20"/>
          <w:color w:val="auto"/>
        </w:rPr>
      </w:pPr>
    </w:p>
    <w:p>
      <w:pPr>
        <w:ind w:left="360" w:hanging="356"/>
        <w:spacing w:after="0"/>
        <w:tabs>
          <w:tab w:leader="none" w:pos="3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other events or factors, many of which are beyond our control.</w:t>
      </w:r>
    </w:p>
    <w:p>
      <w:pPr>
        <w:spacing w:after="0" w:line="241"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 and future prospects.</w:t>
      </w:r>
    </w:p>
    <w:p>
      <w:pPr>
        <w:spacing w:after="0" w:line="157" w:lineRule="exact"/>
        <w:rPr>
          <w:sz w:val="20"/>
          <w:szCs w:val="20"/>
          <w:color w:val="auto"/>
        </w:rPr>
      </w:pPr>
    </w:p>
    <w:p>
      <w:pPr>
        <w:ind w:right="200"/>
        <w:spacing w:after="0" w:line="276" w:lineRule="auto"/>
        <w:rPr>
          <w:sz w:val="20"/>
          <w:szCs w:val="20"/>
          <w:color w:val="auto"/>
        </w:rPr>
      </w:pPr>
      <w:r>
        <w:rPr>
          <w:rFonts w:ascii="Arial" w:cs="Arial" w:eastAsia="Arial" w:hAnsi="Arial"/>
          <w:sz w:val="22"/>
          <w:szCs w:val="22"/>
          <w:b w:val="1"/>
          <w:bCs w:val="1"/>
          <w:i w:val="1"/>
          <w:iCs w:val="1"/>
          <w:color w:val="auto"/>
        </w:rPr>
        <w:t>Raising additional capital may cause dilution to our existing stockholders, restrict our operations or require us to relinquish rights to our technologies or product candidates.</w:t>
      </w:r>
    </w:p>
    <w:p>
      <w:pPr>
        <w:spacing w:after="0" w:line="180"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We will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do not intend to pay dividends on our common stock, so any returns will be limited to the value of our stock.</w:t>
      </w:r>
    </w:p>
    <w:p>
      <w:pPr>
        <w:spacing w:after="0" w:line="285"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We have never declared or paid cash dividends on shares of our common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stock, which may never occur.</w:t>
      </w:r>
    </w:p>
    <w:p>
      <w:pPr>
        <w:spacing w:after="0" w:line="168" w:lineRule="exact"/>
        <w:rPr>
          <w:sz w:val="20"/>
          <w:szCs w:val="20"/>
          <w:color w:val="auto"/>
        </w:rPr>
      </w:pPr>
    </w:p>
    <w:p>
      <w:pPr>
        <w:ind w:right="380"/>
        <w:spacing w:after="0" w:line="276" w:lineRule="auto"/>
        <w:rPr>
          <w:sz w:val="20"/>
          <w:szCs w:val="20"/>
          <w:color w:val="auto"/>
        </w:rPr>
      </w:pPr>
      <w:r>
        <w:rPr>
          <w:rFonts w:ascii="Arial" w:cs="Arial" w:eastAsia="Arial" w:hAnsi="Arial"/>
          <w:sz w:val="22"/>
          <w:szCs w:val="22"/>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Based upon our common stock outstanding as of December 31, 2025, our executive officers, directors, and their affiliates beneficially owned a significant percentage of our outstanding voting stock. These stockholders, acting together, are able to significantly influence all matters requiring stockholder approval. For example, these stockholders are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98" w:lineRule="exact"/>
        <w:rPr>
          <w:sz w:val="20"/>
          <w:szCs w:val="20"/>
          <w:color w:val="auto"/>
        </w:rPr>
      </w:pPr>
    </w:p>
    <w:p>
      <w:pPr>
        <w:ind w:right="100"/>
        <w:spacing w:after="0" w:line="328" w:lineRule="auto"/>
        <w:rPr>
          <w:sz w:val="20"/>
          <w:szCs w:val="20"/>
          <w:color w:val="auto"/>
        </w:rPr>
      </w:pPr>
      <w:r>
        <w:rPr>
          <w:rFonts w:ascii="Arial" w:cs="Arial" w:eastAsia="Arial" w:hAnsi="Arial"/>
          <w:sz w:val="20"/>
          <w:szCs w:val="20"/>
          <w:b w:val="1"/>
          <w:bCs w:val="1"/>
          <w:i w:val="1"/>
          <w:iCs w:val="1"/>
          <w:color w:val="auto"/>
        </w:rPr>
        <w:t>We are a smaller reporting company, and we cannot be certain if the reduced reporting requirements applicable to smaller reporting companies will make our common stock less attractive to investors.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10240"/>
          </w:cols>
          <w:pgMar w:left="820" w:top="678" w:right="820" w:bottom="0" w:gutter="0" w:footer="0" w:header="0"/>
          <w:type w:val="continuous"/>
        </w:sectPr>
      </w:pPr>
    </w:p>
    <w:bookmarkStart w:id="106" w:name="page107"/>
    <w:bookmarkEnd w:id="106"/>
    <w:p>
      <w:pPr>
        <w:ind w:right="200"/>
        <w:spacing w:after="0" w:line="254" w:lineRule="auto"/>
        <w:rPr>
          <w:sz w:val="20"/>
          <w:szCs w:val="20"/>
          <w:color w:val="auto"/>
        </w:rPr>
      </w:pPr>
      <w:r>
        <w:rPr>
          <w:rFonts w:ascii="Arial" w:cs="Arial" w:eastAsia="Arial" w:hAnsi="Arial"/>
          <w:sz w:val="22"/>
          <w:szCs w:val="22"/>
          <w:color w:val="auto"/>
        </w:rPr>
        <w:t>Effective as of December 31, 2025, the fifth anniversary of the closing of our IPO, we no longer qualify as an “emerging growth company.” As a result, commencing with this Annual Report, we are no longer be eligible to take advantage of certain exemptions from various reporting requirements that are applicable to emerging growth companies.</w:t>
      </w:r>
    </w:p>
    <w:p>
      <w:pPr>
        <w:spacing w:after="0" w:line="199" w:lineRule="exact"/>
        <w:rPr>
          <w:sz w:val="20"/>
          <w:szCs w:val="20"/>
          <w:color w:val="auto"/>
        </w:rPr>
      </w:pPr>
    </w:p>
    <w:p>
      <w:pPr>
        <w:ind w:right="80"/>
        <w:spacing w:after="0" w:line="295" w:lineRule="auto"/>
        <w:rPr>
          <w:sz w:val="20"/>
          <w:szCs w:val="20"/>
          <w:color w:val="auto"/>
        </w:rPr>
      </w:pPr>
      <w:r>
        <w:rPr>
          <w:rFonts w:ascii="Arial" w:cs="Arial" w:eastAsia="Arial" w:hAnsi="Arial"/>
          <w:sz w:val="19"/>
          <w:szCs w:val="19"/>
          <w:color w:val="auto"/>
        </w:rPr>
        <w:t>Even though we no longer qualify as an emerging growth company, we still qualify as a “smaller reporting company” and a “non-accelerated filer,” which allows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57" w:lineRule="exact"/>
        <w:rPr>
          <w:sz w:val="20"/>
          <w:szCs w:val="20"/>
          <w:color w:val="auto"/>
        </w:rPr>
      </w:pPr>
    </w:p>
    <w:p>
      <w:pPr>
        <w:ind w:right="40"/>
        <w:spacing w:after="0" w:line="391" w:lineRule="auto"/>
        <w:rPr>
          <w:sz w:val="20"/>
          <w:szCs w:val="20"/>
          <w:color w:val="auto"/>
        </w:rPr>
      </w:pPr>
      <w:r>
        <w:rPr>
          <w:rFonts w:ascii="Arial" w:cs="Arial" w:eastAsia="Arial" w:hAnsi="Arial"/>
          <w:sz w:val="18"/>
          <w:szCs w:val="18"/>
          <w:b w:val="1"/>
          <w:bCs w:val="1"/>
          <w:i w:val="1"/>
          <w:iCs w:val="1"/>
          <w:color w:val="auto"/>
        </w:rPr>
        <w:t>We are incurring, and will continue to incur, significant increased expenses and administrative burdens as a public company, which could have an adverse effect on our business, financial condition and results of operations.</w:t>
      </w:r>
    </w:p>
    <w:p>
      <w:pPr>
        <w:spacing w:after="0" w:line="88"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As a public company, and particularly now that we are no longer an emerging growth company, we incur significant legal, accounting, administrative and other costs and expenses that we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continue to increase our legal and financial compliance costs and will make some activities more time-consuming and costly. We are continuously evaluating these rules and regulations which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Pursuant to Section 404 of the Sarbanes-Oxley Act (SOX Section 404) we are required to furnish a report by our management on our internal control over financial reporting with our Annual Report on Form 10-K with the SEC and to include an attestation report on internal control over financial reporting issued by our independent registered public accounting firm. However, we may, under certain conditions, still qualify as a “smaller reporting company” and benefit from similar exemptions from disclosure requirements, including not being required to comply with the auditor attestation requirements of Section 404 of the Sarbanes-Oxley Act and reduced disclosure obligations regarding executive compensation in our periodic reports and proxy statements. To achieve compliance with SOX Section 404 within the prescribed period, we engage in a process to document and evaluate our internal control over financial reporting, which is both costly and challenging. In this regard, we will need to continue to dedicate internal resources, potentially engage outside consultants and maintain a detailed work plan to assess and document the adequacy of internal control over financial reporting, continue steps to improve control processes as appropriate, validate through testing that controls are functioning as documented and maintain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70" w:lineRule="exact"/>
        <w:rPr>
          <w:sz w:val="20"/>
          <w:szCs w:val="20"/>
          <w:color w:val="auto"/>
        </w:rPr>
      </w:pPr>
    </w:p>
    <w:p>
      <w:pPr>
        <w:ind w:right="420"/>
        <w:spacing w:after="0" w:line="276" w:lineRule="auto"/>
        <w:rPr>
          <w:sz w:val="20"/>
          <w:szCs w:val="20"/>
          <w:color w:val="auto"/>
        </w:rPr>
      </w:pPr>
      <w:r>
        <w:rPr>
          <w:rFonts w:ascii="Arial" w:cs="Arial" w:eastAsia="Arial" w:hAnsi="Arial"/>
          <w:sz w:val="22"/>
          <w:szCs w:val="22"/>
          <w:b w:val="1"/>
          <w:bCs w:val="1"/>
          <w:i w:val="1"/>
          <w:iCs w:val="1"/>
          <w:color w:val="auto"/>
        </w:rPr>
        <w:t>Sales of a substantial number of shares of our common stock by our existing stockholders in the public market could cause our stock price to fall.</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10240"/>
          </w:cols>
          <w:pgMar w:left="820" w:top="678" w:right="820" w:bottom="0" w:gutter="0" w:footer="0" w:header="0"/>
          <w:type w:val="continuous"/>
        </w:sectPr>
      </w:pPr>
    </w:p>
    <w:bookmarkStart w:id="107" w:name="page108"/>
    <w:bookmarkEnd w:id="107"/>
    <w:p>
      <w:pPr>
        <w:ind w:right="140"/>
        <w:spacing w:after="0" w:line="280" w:lineRule="auto"/>
        <w:rPr>
          <w:sz w:val="20"/>
          <w:szCs w:val="20"/>
          <w:color w:val="auto"/>
        </w:rPr>
      </w:pPr>
      <w:r>
        <w:rPr>
          <w:rFonts w:ascii="Arial" w:cs="Arial" w:eastAsia="Arial" w:hAnsi="Arial"/>
          <w:sz w:val="20"/>
          <w:szCs w:val="20"/>
          <w:color w:val="auto"/>
        </w:rPr>
        <w:t>Sales of a substantial number of shares of our common stock or other securities convertible into or exchangeable for our common stock in the public market, or the perception that such sales might occur, could depress the market price of our common stock, could make it more difficult for you to sell your common stock at a time and price that you deem appropriate, and could impair our ability to raise capital through the sale of additional equity securities. We cannot predict the effect that future sales of our common stock or other equity-related securities would have on the prevailing market price of our common stock.</w:t>
      </w:r>
    </w:p>
    <w:p>
      <w:pPr>
        <w:spacing w:after="0" w:line="168" w:lineRule="exact"/>
        <w:rPr>
          <w:sz w:val="20"/>
          <w:szCs w:val="20"/>
          <w:color w:val="auto"/>
        </w:rPr>
      </w:pPr>
    </w:p>
    <w:p>
      <w:pPr>
        <w:ind w:right="520"/>
        <w:spacing w:after="0" w:line="328" w:lineRule="auto"/>
        <w:rPr>
          <w:sz w:val="20"/>
          <w:szCs w:val="20"/>
          <w:color w:val="auto"/>
        </w:rPr>
      </w:pPr>
      <w:r>
        <w:rPr>
          <w:rFonts w:ascii="Arial" w:cs="Arial" w:eastAsia="Arial" w:hAnsi="Arial"/>
          <w:sz w:val="20"/>
          <w:szCs w:val="20"/>
          <w:b w:val="1"/>
          <w:bCs w:val="1"/>
          <w:i w:val="1"/>
          <w:iCs w:val="1"/>
          <w:color w:val="auto"/>
        </w:rPr>
        <w:t>Unstable market and macroeconomic conditions, political instability and geopolitical events may have serious adverse consequences on our business, financial condition and stock price.</w:t>
      </w:r>
    </w:p>
    <w:p>
      <w:pPr>
        <w:spacing w:after="0" w:line="134" w:lineRule="exact"/>
        <w:rPr>
          <w:sz w:val="20"/>
          <w:szCs w:val="20"/>
          <w:color w:val="auto"/>
        </w:rPr>
      </w:pPr>
    </w:p>
    <w:p>
      <w:pPr>
        <w:ind w:right="120"/>
        <w:spacing w:after="0" w:line="293" w:lineRule="auto"/>
        <w:rPr>
          <w:sz w:val="20"/>
          <w:szCs w:val="20"/>
          <w:color w:val="auto"/>
        </w:rPr>
      </w:pPr>
      <w:r>
        <w:rPr>
          <w:rFonts w:ascii="Arial" w:cs="Arial" w:eastAsia="Arial" w:hAnsi="Arial"/>
          <w:sz w:val="19"/>
          <w:szCs w:val="19"/>
          <w:color w:val="auto"/>
        </w:rPr>
        <w:t>As widely reported, the global credit and financial markets have experienced extreme volatility and disruptions in the past several years, including severely diminished liquidity and credit availability, declines in consumer confidence, declines in economic growth, high inflation, changes in interest rates, increases in unemployment rates and uncertainty about economic stability. For example, inflation generally affects us by increasing our employee-related costs and clinical trial expenses, as well as other operating expenses. There can be no assurance that further deterioration in credit and financial markets and in global economic and political conditions will not occur. Further, changing circumstances, some of which may be beyond our control, could cause us to consume capital significantly faster than we currently anticipate, and we may need to seek additional funds sooner than planned.</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Our business could also be impacted by volatility caused by geopolitical events within the United States and foreign jurisdictions, including as a result of an economic downturn and geopolitical events, such as changes in or disruptions of U.S. governmental agencies, whether from a prolonged U.S. federal government shutdown or reduced resources, disruptions in capital markets, the potential for significant changes in U.S. federal policies or regulatory environment that affect the geopolitical landscape and ongoing military conflicts. For instance, the ongoing Ukraine-Russia and Israel-Hamas conflicts could disrupt or otherwise adversely impact our operations and those of third parties upon which we rely or may rely in the future. Related sanctions, export controls or other actions may be initiated by nations including the U.S., the EU or Russia (e.g., potential cyberattacks, disruption of energy flows, etc.), which could adversely affect our business and/or our supply chain, our CROs, CMOs and other third parties with which we conduct or in the future may conduct business. Further, state-sponsored cyberattacks could expand as part of the conflict, which would adversely affect our and our suppliers' ability to maintain or enhance key cybersecurity and data protection measures. Our financial condition and results of operations may also be impacted by other factors we may not be able to control, such as global supply chain disruptions, global trade disputes or political instability. 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on October 1, 2025, the U.S. federal government shutdown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If the current equity and credit markets deteriorate, or do not improve, it may make obtaining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172" w:lineRule="exact"/>
        <w:rPr>
          <w:sz w:val="20"/>
          <w:szCs w:val="20"/>
          <w:color w:val="auto"/>
        </w:rPr>
      </w:pPr>
    </w:p>
    <w:p>
      <w:pPr>
        <w:ind w:right="320"/>
        <w:spacing w:after="0" w:line="276" w:lineRule="auto"/>
        <w:rPr>
          <w:sz w:val="20"/>
          <w:szCs w:val="20"/>
          <w:color w:val="auto"/>
        </w:rPr>
      </w:pPr>
      <w:r>
        <w:rPr>
          <w:rFonts w:ascii="Arial" w:cs="Arial" w:eastAsia="Arial" w:hAnsi="Arial"/>
          <w:sz w:val="22"/>
          <w:szCs w:val="22"/>
          <w:b w:val="1"/>
          <w:bCs w:val="1"/>
          <w:i w:val="1"/>
          <w:iCs w:val="1"/>
          <w:color w:val="auto"/>
        </w:rPr>
        <w:t>If securities or industry analysts publish inaccurate or unfavorable research about our business, our stock price and trading volume could decline.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10240"/>
          </w:cols>
          <w:pgMar w:left="820" w:top="678" w:right="820" w:bottom="0" w:gutter="0" w:footer="0" w:header="0"/>
          <w:type w:val="continuous"/>
        </w:sectPr>
      </w:pPr>
    </w:p>
    <w:bookmarkStart w:id="108" w:name="page109"/>
    <w:bookmarkEnd w:id="108"/>
    <w:p>
      <w:pPr>
        <w:ind w:right="140"/>
        <w:spacing w:after="0" w:line="283" w:lineRule="auto"/>
        <w:rPr>
          <w:sz w:val="20"/>
          <w:szCs w:val="20"/>
          <w:color w:val="auto"/>
        </w:rPr>
      </w:pPr>
      <w:r>
        <w:rPr>
          <w:rFonts w:ascii="Arial" w:cs="Arial" w:eastAsia="Arial" w:hAnsi="Arial"/>
          <w:sz w:val="20"/>
          <w:szCs w:val="20"/>
          <w:color w:val="auto"/>
        </w:rPr>
        <w:t>The trading market for our common stock will depend in part on the research and reports that securities or industry analysts publish about us or our business.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63" w:lineRule="exact"/>
        <w:rPr>
          <w:sz w:val="20"/>
          <w:szCs w:val="20"/>
          <w:color w:val="auto"/>
        </w:rPr>
      </w:pPr>
    </w:p>
    <w:p>
      <w:pPr>
        <w:ind w:right="440"/>
        <w:spacing w:after="0" w:line="276" w:lineRule="auto"/>
        <w:rPr>
          <w:sz w:val="20"/>
          <w:szCs w:val="20"/>
          <w:color w:val="auto"/>
        </w:rPr>
      </w:pPr>
      <w:r>
        <w:rPr>
          <w:rFonts w:ascii="Arial" w:cs="Arial" w:eastAsia="Arial" w:hAnsi="Arial"/>
          <w:sz w:val="22"/>
          <w:szCs w:val="22"/>
          <w:b w:val="1"/>
          <w:bCs w:val="1"/>
          <w:i w:val="1"/>
          <w:iCs w:val="1"/>
          <w:color w:val="auto"/>
        </w:rPr>
        <w:t>Our failure or perceived failure to implement or maintain corporate sustainability practices that meet evolving stakeholder expectations could adversely affect us.</w:t>
      </w:r>
    </w:p>
    <w:p>
      <w:pPr>
        <w:spacing w:after="0" w:line="180" w:lineRule="exact"/>
        <w:rPr>
          <w:sz w:val="20"/>
          <w:szCs w:val="20"/>
          <w:color w:val="auto"/>
        </w:rPr>
      </w:pPr>
    </w:p>
    <w:p>
      <w:pPr>
        <w:ind w:right="80"/>
        <w:spacing w:after="0" w:line="293" w:lineRule="auto"/>
        <w:rPr>
          <w:sz w:val="20"/>
          <w:szCs w:val="20"/>
          <w:color w:val="auto"/>
        </w:rPr>
      </w:pPr>
      <w:r>
        <w:rPr>
          <w:rFonts w:ascii="Arial" w:cs="Arial" w:eastAsia="Arial" w:hAnsi="Arial"/>
          <w:sz w:val="19"/>
          <w:szCs w:val="19"/>
          <w:color w:val="auto"/>
        </w:rPr>
        <w:t>Our ability to implement or maintain corporate sustainability practices that meet evolving stakeholder expectations is subject to numerous factors both within and outside of our control and failure, or perceived failure, could harm our reputation, adversely impact our ability to attract and retain employees and expose us to increased scrutiny from the investment community, regulatory authorities and others or subject us to liability. Our reputation also may be harmed by the perceptions that our stakeholders have about our action or inaction on corporate sustainability issues. In addition, changes to corporate sustainability laws and regulations across the jurisdictions in which we currently operate, or may operate in the future, may increase compliance risks and costs and, together with differing views on the appropriate role of sustainability practices and disclosures, may adversely impact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our charter and bylaws</w:t>
      </w:r>
    </w:p>
    <w:p>
      <w:pPr>
        <w:spacing w:after="0" w:line="231" w:lineRule="exact"/>
        <w:rPr>
          <w:sz w:val="20"/>
          <w:szCs w:val="20"/>
          <w:color w:val="auto"/>
        </w:rPr>
      </w:pPr>
    </w:p>
    <w:p>
      <w:pPr>
        <w:ind w:right="480"/>
        <w:spacing w:after="0" w:line="299" w:lineRule="auto"/>
        <w:rPr>
          <w:sz w:val="20"/>
          <w:szCs w:val="20"/>
          <w:color w:val="auto"/>
        </w:rPr>
      </w:pPr>
      <w:r>
        <w:rPr>
          <w:rFonts w:ascii="Arial" w:cs="Arial" w:eastAsia="Arial" w:hAnsi="Arial"/>
          <w:sz w:val="20"/>
          <w:szCs w:val="20"/>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1" w:lineRule="exact"/>
        <w:rPr>
          <w:sz w:val="20"/>
          <w:szCs w:val="20"/>
          <w:color w:val="auto"/>
        </w:rPr>
      </w:pPr>
    </w:p>
    <w:p>
      <w:pPr>
        <w:jc w:val="both"/>
        <w:ind w:right="100"/>
        <w:spacing w:after="0" w:line="258" w:lineRule="auto"/>
        <w:rPr>
          <w:sz w:val="20"/>
          <w:szCs w:val="20"/>
          <w:color w:val="auto"/>
        </w:rPr>
      </w:pPr>
      <w:r>
        <w:rPr>
          <w:rFonts w:ascii="Arial" w:cs="Arial" w:eastAsia="Arial" w:hAnsi="Arial"/>
          <w:sz w:val="22"/>
          <w:szCs w:val="22"/>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78" w:lineRule="exact"/>
        <w:rPr>
          <w:sz w:val="20"/>
          <w:szCs w:val="20"/>
          <w:color w:val="auto"/>
        </w:rPr>
      </w:pPr>
    </w:p>
    <w:p>
      <w:pPr>
        <w:ind w:left="360" w:right="40" w:hanging="356"/>
        <w:spacing w:after="0" w:line="271" w:lineRule="auto"/>
        <w:tabs>
          <w:tab w:leader="none" w:pos="3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board of directors divided into three classes serving staggered three-year terms, such that not all members of the board will be elected at one time;</w:t>
      </w:r>
    </w:p>
    <w:p>
      <w:pPr>
        <w:spacing w:after="0" w:line="63" w:lineRule="exact"/>
        <w:rPr>
          <w:rFonts w:ascii="Arial" w:cs="Arial" w:eastAsia="Arial" w:hAnsi="Arial"/>
          <w:sz w:val="22"/>
          <w:szCs w:val="22"/>
          <w:color w:val="auto"/>
        </w:rPr>
      </w:pPr>
    </w:p>
    <w:p>
      <w:pPr>
        <w:ind w:left="360" w:hanging="356"/>
        <w:spacing w:after="0" w:line="271" w:lineRule="auto"/>
        <w:tabs>
          <w:tab w:leader="none" w:pos="3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prohibition on stockholder action through written consent, which requires that all stockholder actions be taken at a meeting of our stockholders;</w:t>
      </w:r>
    </w:p>
    <w:p>
      <w:pPr>
        <w:spacing w:after="0" w:line="63" w:lineRule="exact"/>
        <w:rPr>
          <w:rFonts w:ascii="Arial" w:cs="Arial" w:eastAsia="Arial" w:hAnsi="Arial"/>
          <w:sz w:val="22"/>
          <w:szCs w:val="22"/>
          <w:color w:val="auto"/>
        </w:rPr>
      </w:pPr>
    </w:p>
    <w:p>
      <w:pPr>
        <w:ind w:left="360" w:right="240" w:hanging="356"/>
        <w:spacing w:after="0" w:line="322"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requirement that special meetings of stockholders be called only by the board of directors acting pursuant to a resolution approved by the affirmative vote of a majority of the directors then in office;</w:t>
      </w:r>
    </w:p>
    <w:p>
      <w:pPr>
        <w:spacing w:after="0" w:line="17" w:lineRule="exact"/>
        <w:rPr>
          <w:rFonts w:ascii="Arial" w:cs="Arial" w:eastAsia="Arial" w:hAnsi="Arial"/>
          <w:sz w:val="20"/>
          <w:szCs w:val="20"/>
          <w:color w:val="auto"/>
        </w:rPr>
      </w:pPr>
    </w:p>
    <w:p>
      <w:pPr>
        <w:ind w:left="360" w:hanging="356"/>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advance notice requirements for stockholder proposals and nominations for election to our board of directors;</w:t>
      </w:r>
    </w:p>
    <w:p>
      <w:pPr>
        <w:spacing w:after="0" w:line="146" w:lineRule="exact"/>
        <w:rPr>
          <w:rFonts w:ascii="Arial" w:cs="Arial" w:eastAsia="Arial" w:hAnsi="Arial"/>
          <w:sz w:val="20"/>
          <w:szCs w:val="20"/>
          <w:color w:val="auto"/>
        </w:rPr>
      </w:pPr>
    </w:p>
    <w:p>
      <w:pPr>
        <w:ind w:left="360" w:right="220" w:hanging="356"/>
        <w:spacing w:after="0" w:line="296"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42" w:lineRule="exact"/>
        <w:rPr>
          <w:rFonts w:ascii="Arial" w:cs="Arial" w:eastAsia="Arial" w:hAnsi="Arial"/>
          <w:sz w:val="20"/>
          <w:szCs w:val="20"/>
          <w:color w:val="auto"/>
        </w:rPr>
      </w:pPr>
    </w:p>
    <w:p>
      <w:pPr>
        <w:ind w:left="360" w:right="260" w:hanging="356"/>
        <w:spacing w:after="0" w:line="322"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requirement of approval of not less than two-thirds of all outstanding shares of our voting stock to amend any bylaws by stockholder action or to amend specific provisions of our certificate of incorporation; and</w:t>
      </w:r>
    </w:p>
    <w:p>
      <w:pPr>
        <w:spacing w:after="0" w:line="17" w:lineRule="exact"/>
        <w:rPr>
          <w:rFonts w:ascii="Arial" w:cs="Arial" w:eastAsia="Arial" w:hAnsi="Arial"/>
          <w:sz w:val="20"/>
          <w:szCs w:val="20"/>
          <w:color w:val="auto"/>
        </w:rPr>
      </w:pPr>
    </w:p>
    <w:p>
      <w:pPr>
        <w:ind w:left="360" w:right="60" w:hanging="356"/>
        <w:spacing w:after="0" w:line="258" w:lineRule="auto"/>
        <w:tabs>
          <w:tab w:leader="none" w:pos="3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10220"/>
          </w:cols>
          <w:pgMar w:left="820" w:top="678" w:right="840" w:bottom="0" w:gutter="0" w:footer="0" w:header="0"/>
          <w:type w:val="continuous"/>
        </w:sectPr>
      </w:pPr>
    </w:p>
    <w:bookmarkStart w:id="109" w:name="page110"/>
    <w:bookmarkEnd w:id="109"/>
    <w:p>
      <w:pPr>
        <w:ind w:right="80"/>
        <w:spacing w:after="0" w:line="275" w:lineRule="auto"/>
        <w:rPr>
          <w:sz w:val="20"/>
          <w:szCs w:val="20"/>
          <w:color w:val="auto"/>
        </w:rPr>
      </w:pPr>
      <w:r>
        <w:rPr>
          <w:rFonts w:ascii="Arial" w:cs="Arial" w:eastAsia="Arial" w:hAnsi="Arial"/>
          <w:sz w:val="20"/>
          <w:szCs w:val="20"/>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8" w:lineRule="exact"/>
        <w:rPr>
          <w:sz w:val="20"/>
          <w:szCs w:val="20"/>
          <w:color w:val="auto"/>
        </w:rPr>
      </w:pPr>
    </w:p>
    <w:p>
      <w:pPr>
        <w:jc w:val="both"/>
        <w:ind w:right="320"/>
        <w:spacing w:after="0" w:line="321" w:lineRule="auto"/>
        <w:rPr>
          <w:sz w:val="20"/>
          <w:szCs w:val="20"/>
          <w:color w:val="auto"/>
        </w:rPr>
      </w:pPr>
      <w:r>
        <w:rPr>
          <w:rFonts w:ascii="Arial" w:cs="Arial" w:eastAsia="Arial" w:hAnsi="Arial"/>
          <w:sz w:val="19"/>
          <w:szCs w:val="19"/>
          <w:b w:val="1"/>
          <w:bCs w:val="1"/>
          <w:i w:val="1"/>
          <w:iCs w:val="1"/>
          <w:color w:val="auto"/>
        </w:rPr>
        <w:t>Our amended and restated bylaws designate a certain court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This exclusive forum provision will not apply to any causes of action arising under the Securities Act or the Exchange Act. In addition, our amended and restated bylaws will provide that any person or entity purchasing or otherwise acquiring any interest in shares of our common stock is deemed to have notice of and consented to the foregoing provisions.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internal control over financial reporting</w:t>
      </w:r>
    </w:p>
    <w:p>
      <w:pPr>
        <w:spacing w:after="0" w:line="231" w:lineRule="exact"/>
        <w:rPr>
          <w:sz w:val="20"/>
          <w:szCs w:val="20"/>
          <w:color w:val="auto"/>
        </w:rPr>
      </w:pPr>
    </w:p>
    <w:p>
      <w:pPr>
        <w:ind w:right="340"/>
        <w:spacing w:after="0" w:line="276" w:lineRule="auto"/>
        <w:rPr>
          <w:sz w:val="20"/>
          <w:szCs w:val="20"/>
          <w:color w:val="auto"/>
        </w:rPr>
      </w:pPr>
      <w:r>
        <w:rPr>
          <w:rFonts w:ascii="Arial" w:cs="Arial" w:eastAsia="Arial" w:hAnsi="Arial"/>
          <w:sz w:val="22"/>
          <w:szCs w:val="22"/>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180"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Adequate internal control over financial reporting are necessary for us to provide reliable financial reports and, together with effective disclosure controls and procedures, are designed to prevent or detect material misstatements due to fraud or error. Any failure to implement required new or improved controls, or difficulties encountered in their implementation could cause us to fail to meet our reporting obligations. In addition, any testing conducted by us in connection with Section 404 of the Sarbanes-Oxley Act,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stock.</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10220"/>
          </w:cols>
          <w:pgMar w:left="820" w:top="678" w:right="840" w:bottom="0" w:gutter="0" w:footer="0" w:header="0"/>
          <w:type w:val="continuous"/>
        </w:sectPr>
      </w:pPr>
    </w:p>
    <w:bookmarkStart w:id="110" w:name="page111"/>
    <w:bookmarkEnd w:id="110"/>
    <w:p>
      <w:pPr>
        <w:ind w:right="60"/>
        <w:spacing w:after="0" w:line="278" w:lineRule="auto"/>
        <w:rPr>
          <w:sz w:val="20"/>
          <w:szCs w:val="20"/>
          <w:color w:val="auto"/>
        </w:rPr>
      </w:pPr>
      <w:r>
        <w:rPr>
          <w:rFonts w:ascii="Arial" w:cs="Arial" w:eastAsia="Arial" w:hAnsi="Arial"/>
          <w:sz w:val="20"/>
          <w:szCs w:val="20"/>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risk factors</w:t>
      </w:r>
    </w:p>
    <w:p>
      <w:pPr>
        <w:spacing w:after="0" w:line="239" w:lineRule="exact"/>
        <w:rPr>
          <w:sz w:val="20"/>
          <w:szCs w:val="20"/>
          <w:color w:val="auto"/>
        </w:rPr>
      </w:pPr>
    </w:p>
    <w:p>
      <w:pPr>
        <w:ind w:right="320"/>
        <w:spacing w:after="0" w:line="280" w:lineRule="auto"/>
        <w:rPr>
          <w:sz w:val="20"/>
          <w:szCs w:val="20"/>
          <w:color w:val="auto"/>
        </w:rPr>
      </w:pPr>
      <w:r>
        <w:rPr>
          <w:rFonts w:ascii="Arial" w:cs="Arial" w:eastAsia="Arial" w:hAnsi="Arial"/>
          <w:sz w:val="22"/>
          <w:szCs w:val="22"/>
          <w:b w:val="1"/>
          <w:bCs w:val="1"/>
          <w:i w:val="1"/>
          <w:iCs w:val="1"/>
          <w:color w:val="auto"/>
        </w:rPr>
        <w:t>Data collection is governed by restrictive regulations governing the use, processing and cross-border transfer of personal information.</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GDPR. The GDPR is wide-ranging in scope and imposes numerous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99" w:lineRule="exact"/>
        <w:rPr>
          <w:sz w:val="20"/>
          <w:szCs w:val="20"/>
          <w:color w:val="auto"/>
        </w:rPr>
      </w:pPr>
    </w:p>
    <w:p>
      <w:pPr>
        <w:ind w:right="260"/>
        <w:spacing w:after="0" w:line="318" w:lineRule="auto"/>
        <w:rPr>
          <w:sz w:val="20"/>
          <w:szCs w:val="20"/>
          <w:color w:val="auto"/>
        </w:rPr>
      </w:pPr>
      <w:r>
        <w:rPr>
          <w:rFonts w:ascii="Arial" w:cs="Arial" w:eastAsia="Arial" w:hAnsi="Arial"/>
          <w:sz w:val="19"/>
          <w:szCs w:val="19"/>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cause our costs to increase, and harm our business and financial condition.</w:t>
      </w:r>
    </w:p>
    <w:p>
      <w:pPr>
        <w:spacing w:after="0" w:line="143"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We are subject to evolving and strict rules on the transfer of personal data out of the EEA to third countries such as the United States. The GDPR imposes strict rules on the transfer of personal data to countries outside the EEA, including the United States. Unless the destination country is an adequate country (as recognized by the European Commission), we may be required to incorporate a GDPR transfer mechanism (such as the European Commission approved standard contractual clauses (SCCs)) into our agreements with third parties to govern transfers of personal data outside the EEA. The SCCs may also impact our business as companies based in the EEA may be reluctant to utilize the these clauses to legitimize transfers of personal data to third countries given the burdensome requirements of transfer impact assessments and the substantial obligations that SCCs impose upon exporters. Alternatively, the EU and United States have adopted the EU-U.S. Data Privacy Framework (Framework) on the basis that the protection of personal data transferred from the EU to the United States is comparable to that offered in the EU. The Framework provides a further avenue to ensuring transfers to the United States are carried out in line with GDPR. The Framework could be challenged like its predecessor frameworks. This complexity and the additional contractual burden increases our overall risk exposure.</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10220"/>
          </w:cols>
          <w:pgMar w:left="820" w:top="678" w:right="840" w:bottom="0" w:gutter="0" w:footer="0" w:header="0"/>
          <w:type w:val="continuous"/>
        </w:sectPr>
      </w:pPr>
    </w:p>
    <w:bookmarkStart w:id="111" w:name="page112"/>
    <w:bookmarkEnd w:id="111"/>
    <w:p>
      <w:pPr>
        <w:spacing w:after="0" w:line="274" w:lineRule="auto"/>
        <w:rPr>
          <w:sz w:val="20"/>
          <w:szCs w:val="20"/>
          <w:color w:val="auto"/>
        </w:rPr>
      </w:pPr>
      <w:r>
        <w:rPr>
          <w:rFonts w:ascii="Arial" w:cs="Arial" w:eastAsia="Arial" w:hAnsi="Arial"/>
          <w:sz w:val="20"/>
          <w:szCs w:val="20"/>
          <w:color w:val="auto"/>
        </w:rPr>
        <w:t>In addition, further to the UK’s exit from the EU, the UK’s EU (Withdrawal) Act 2018 incorporated the GDPR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transfer of personal data outside of the UK is not subject to the new forms of SCCs but the UK has issued its own transfer mechanism – the UK international data transfer agreement – which, like the SCCs, requires exporters to carry out a transfer impact assessment. In addition, there has been an extension to the Framework to cover UK transfers to the United States. In 2025, the Data (Use and Access) Bill (DUA Act) passed both Houses of UK Parliament and received Royal Assent. The DUA Act alters requirements for international data transfers and marks a shift in the UK’s approach to data protection.</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In the U.S., federal and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Further, the law created a new state regulatory agency, now known as CalPrivacy, that is responsible for implementing and enforcing the CCPA. Since the CCPA’s enactment, numerous states have introduced or enacted comprehensive privacy laws, adding complexity, variation in requirements, restrictions and potential legal risk requiring additional investment of resources in compliance programs.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Although many of the existing state privacy laws exempt clinical trial information and health information governed by HIPAA, future privacy and data protection laws may be broader in scope. The existence of comprehensive privacy laws in different states in the country may increase the likelihood that we may be subject to enforcement actions or otherwise incur liability for noncompliance. In addition to these comprehensive consumer privacy laws and proposals, a number of other states have passed or proposed more limited privacy laws that focus on specific privacy issues such as biometric data and the consumer health privacy, such as Washington’s My Health My Data Act, which has a private right of action that further increases the relevant compliance risk. Connecticut and Nevada have also passed similar laws regulating consumer health data. At the federal level, the FTC has used its authority over “unfair or deceptive acts or practices” to impose stringent requirements on the collection and disclosure of sensitive categories of personal information, including health information. Moreover, the FTC’s expanded interpretation of a “breach” under its Health Breach Notification Rule imposes new disclosure obligations that would apply in the event of a qualifying breach. These various privacy and security laws may impact our business activities, including our identification of research subjects, relationships with business partners and ultimately the marketing and distribution of our products.</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20"/>
          <w:szCs w:val="20"/>
          <w:color w:val="auto"/>
        </w:rPr>
        <w:t>We may use and integrate artificial intelligence into our business processes, both in our own development and implementation of artificial intelligence and through the adoption of commercially available tools. Use of this technology could pose cybersecurity, data privacy, IT, intellectual property, regulatory, legal, operational, competitive, reputational and other risks and challenges that could affect our business.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10240"/>
          </w:cols>
          <w:pgMar w:left="820" w:top="678" w:right="820" w:bottom="0" w:gutter="0" w:footer="0" w:header="0"/>
          <w:type w:val="continuous"/>
        </w:sectPr>
      </w:pPr>
    </w:p>
    <w:bookmarkStart w:id="112" w:name="page113"/>
    <w:bookmarkEnd w:id="112"/>
    <w:p>
      <w:pPr>
        <w:ind w:right="60"/>
        <w:spacing w:after="0" w:line="280" w:lineRule="auto"/>
        <w:rPr>
          <w:sz w:val="20"/>
          <w:szCs w:val="20"/>
          <w:color w:val="auto"/>
        </w:rPr>
      </w:pPr>
      <w:r>
        <w:rPr>
          <w:rFonts w:ascii="Arial" w:cs="Arial" w:eastAsia="Arial" w:hAnsi="Arial"/>
          <w:sz w:val="20"/>
          <w:szCs w:val="20"/>
          <w:color w:val="auto"/>
        </w:rPr>
        <w:t>In Europe, the Artificial Intelligence Act (AI Act) began implementation on August 1, 2024, with a significant part of the law scheduled to come into effect in August 2026. As currently enacted, the AI Act, which may be 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78"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In the U.S., the artificial intelligence regulatory environment is complex and uncertain. Over the past year, states have advanced, and in some cases passed, dozens of laws focusing on artificial intelligence governance and regulation, including on deployment of artificial intelligence in healthcare settings. At the federal level, the Trump Administration has endorsed a federal moratorium on the enforcement of state artificial intelligence laws, including through a December 11, 2025, executive order on “Ensuring a National Policy Framework for Artificial Intelligence.” So far, these efforts have not been successful at curtailing state action on artificial intelligence regulation, contributing to a complicated legislative patchwork, which may be litigated in state and federal courts.</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Compliance with these new regulations may require us to implement due diligence obligations and analysis of access to data by our employees, vendors and business partners.</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9"/>
          <w:szCs w:val="19"/>
          <w:color w:val="auto"/>
        </w:rPr>
        <w:t>In China, there have also been significant developments concerning privacy and data security. On June 10, 2021, the Standing Committee of the PRC National People’s Congress published the Data Security Law of the People’s Republic of China (the Data Security Law), which took effect on September 1, 2021. The Data Security Law requires data processing (which includes the collection, storage, use, processing, transmission, provision and publication of data), to be conducted in a legitimate and proper manner. The Data Security Law imposes data security and privacy obligations on entities and individuals carrying out data processing activities and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w:t>
      </w:r>
    </w:p>
    <w:p>
      <w:pPr>
        <w:spacing w:after="0" w:line="173"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Also in China, on August 20, 2021, the Standing Committee of the National People’s Congress of the PRC promulgated the Personal Information Protection Law, which took effect on November 1, 2021. The Personal Information Protection Law raises the protection requirements for processing personal information, and many specific requirements of the Personal Information Protection Law remain to be clarified. We may be required to make further significant adjustments to our business practices to comply with the personal information protection laws and regulations in China including the Personal Information Protection Law. Any failure, or perceived failure, by us to comply with such policies, laws, regulations, and other legal obligations and regulatory guidance could adversely affect our reputation, brand, and business, and may result in claims, proceedings, or actions, including criminal proceedings, against us and certain of our executive officers by governmental entities or others or other liabilities. Any such claim, proceeding, or action, could hurt our reputation, brand, and business, force us to incur significant expenses in defense of such proceedings, distract our management, increase our costs of doing business, result in a loss of customers and merchants, and could have an adverse effect on our business, financial condition, and results of operations.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10220"/>
          </w:cols>
          <w:pgMar w:left="820" w:top="678" w:right="840" w:bottom="0" w:gutter="0" w:footer="0" w:header="0"/>
          <w:type w:val="continuous"/>
        </w:sectPr>
      </w:pPr>
    </w:p>
    <w:bookmarkStart w:id="113" w:name="page114"/>
    <w:bookmarkEnd w:id="113"/>
    <w:p>
      <w:pPr>
        <w:spacing w:after="0" w:line="276" w:lineRule="auto"/>
        <w:rPr>
          <w:sz w:val="20"/>
          <w:szCs w:val="20"/>
          <w:color w:val="auto"/>
        </w:rPr>
      </w:pPr>
      <w:r>
        <w:rPr>
          <w:rFonts w:ascii="Arial" w:cs="Arial" w:eastAsia="Arial" w:hAnsi="Arial"/>
          <w:sz w:val="20"/>
          <w:szCs w:val="20"/>
          <w:color w:val="auto"/>
        </w:rPr>
        <w:t>The Data Security Law and Personal Information Protection Law impose restrictions on cross-border transfers of personal information and certain “important” information that could impact our business practices. In addition, regulators have issued new and updated regulatory measures focused on data security and cross-border data flows, and increased their enforcement activity pursuant to such laws. Certain industry-specific laws and regulations relate to the collection and transfer of data. For example, the HGR Regulation and the Biosecurity Law stipulate that foreign organizations, individuals, and the entities established or actually controlled by foreign organizations or individuals are forbidden to collect, preserve and export China’s human genetic resources. These laws, combined with increasing focus on cross-border transfers of sensitive US data to China and other countries may increasingly complicate our business operations.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78" w:lineRule="exact"/>
        <w:rPr>
          <w:sz w:val="20"/>
          <w:szCs w:val="20"/>
          <w:color w:val="auto"/>
        </w:rPr>
      </w:pPr>
    </w:p>
    <w:p>
      <w:pPr>
        <w:ind w:right="600"/>
        <w:spacing w:after="0" w:line="276" w:lineRule="auto"/>
        <w:rPr>
          <w:sz w:val="20"/>
          <w:szCs w:val="20"/>
          <w:color w:val="auto"/>
        </w:rPr>
      </w:pPr>
      <w:r>
        <w:rPr>
          <w:rFonts w:ascii="Arial" w:cs="Arial" w:eastAsia="Arial" w:hAnsi="Arial"/>
          <w:sz w:val="22"/>
          <w:szCs w:val="22"/>
          <w:b w:val="1"/>
          <w:bCs w:val="1"/>
          <w:i w:val="1"/>
          <w:iCs w:val="1"/>
          <w:color w:val="auto"/>
        </w:rPr>
        <w:t>Changes to patent law in the United States and in foreign jurisdictions could diminish the value of patents in general, thereby impairing our ability to protect our products.</w:t>
      </w:r>
    </w:p>
    <w:p>
      <w:pPr>
        <w:spacing w:after="0" w:line="180"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Arial" w:cs="Arial" w:eastAsia="Arial" w:hAnsi="Arial"/>
          <w:sz w:val="20"/>
          <w:szCs w:val="20"/>
          <w:b w:val="1"/>
          <w:bCs w:val="1"/>
          <w:i w:val="1"/>
          <w:iCs w:val="1"/>
          <w:color w:val="auto"/>
        </w:rPr>
        <w:t>Assoc. for Molecular Pathology v. Myriad Genetics, Inc.,</w:t>
      </w:r>
      <w:r>
        <w:rPr>
          <w:rFonts w:ascii="Arial" w:cs="Arial" w:eastAsia="Arial" w:hAnsi="Arial"/>
          <w:sz w:val="20"/>
          <w:szCs w:val="20"/>
          <w:color w:val="auto"/>
        </w:rPr>
        <w:t xml:space="preserve"> 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10240"/>
          </w:cols>
          <w:pgMar w:left="820" w:top="678" w:right="820" w:bottom="0" w:gutter="0" w:footer="0" w:header="0"/>
          <w:type w:val="continuous"/>
        </w:sectPr>
      </w:pPr>
    </w:p>
    <w:bookmarkStart w:id="114" w:name="page115"/>
    <w:bookmarkEnd w:id="114"/>
    <w:p>
      <w:pPr>
        <w:spacing w:after="0" w:line="272" w:lineRule="auto"/>
        <w:rPr>
          <w:sz w:val="20"/>
          <w:szCs w:val="20"/>
          <w:color w:val="auto"/>
        </w:rPr>
      </w:pPr>
      <w:r>
        <w:rPr>
          <w:rFonts w:ascii="Arial" w:cs="Arial" w:eastAsia="Arial" w:hAnsi="Arial"/>
          <w:sz w:val="20"/>
          <w:szCs w:val="20"/>
          <w:color w:val="auto"/>
        </w:rPr>
        <w:t xml:space="preserve">Recent or future patent reform legislation could also increase the uncertainties and costs surrounding the prosecution of our patent applications and the enforcement or defense of any patents we may own or in-license in the future. The United States has enacted and implemented wide-ranging patent reform legislation. On September 16, 2011, the Leahy-Smith America Invents Act, or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20"/>
          <w:szCs w:val="20"/>
          <w:b w:val="1"/>
          <w:bCs w:val="1"/>
          <w:i w:val="1"/>
          <w:iCs w:val="1"/>
          <w:color w:val="auto"/>
        </w:rPr>
        <w:t>inter partes</w:t>
      </w:r>
      <w:r>
        <w:rPr>
          <w:rFonts w:ascii="Arial" w:cs="Arial" w:eastAsia="Arial" w:hAnsi="Arial"/>
          <w:sz w:val="20"/>
          <w:szCs w:val="20"/>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may own or in-license in the future, all of which could have a material adverse effect on our business and financial condition.</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10220"/>
          </w:cols>
          <w:pgMar w:left="820" w:top="678" w:right="84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2"/>
          <w:szCs w:val="22"/>
          <w:b w:val="1"/>
          <w:bCs w:val="1"/>
          <w:i w:val="1"/>
          <w:iCs w:val="1"/>
          <w:color w:val="auto"/>
        </w:rPr>
        <w:t>Changes in tax law could adversely affect our business and financial condition.</w:t>
      </w:r>
    </w:p>
    <w:p>
      <w:pPr>
        <w:spacing w:after="0" w:line="25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The rules dealing with U.S. federal, state, and local and non-U.S. taxation are constantly under review by persons involved in the legislative process and by the Internal Revenue Service and the U.S. Treasury Department. For example, the OBBB Act was signed into law on July 4, 2025 and made significant changes to U.S. federal tax law. Changes to tax laws, tax rulings, or changes in interpretations of existing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In recent years, many such changes have been made and changes are likely to continue to occur in the future. For example, under Section 174 the IRC, in taxable years beginning after December 31, 2021, expenses that are incurred for research and development performed outside the U.S. will be capitalized and amortized, which may have an adverse effect on our cash flow. The OBBB Act provides that for taxable years beginning after December 31, 2024, expenses that are incurred for research and development performed in the U.S. may, at the taxpayer’s election, be immediately deducted or capitalized and amortized. In addition, the OBBB Act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In the third quarter of 2025, we evaluated the impact of the enacted tax law and noted that it had an immaterial impact on our forecasted annual effective tax rate for the period. However,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0" w:lineRule="exact"/>
        <w:rPr>
          <w:sz w:val="20"/>
          <w:szCs w:val="20"/>
          <w:color w:val="auto"/>
        </w:rPr>
      </w:pPr>
    </w:p>
    <w:p>
      <w:pPr>
        <w:spacing w:after="0" w:line="242" w:lineRule="exact"/>
        <w:rPr>
          <w:sz w:val="20"/>
          <w:szCs w:val="20"/>
          <w:color w:val="auto"/>
        </w:rPr>
      </w:pPr>
    </w:p>
    <w:p>
      <w:pPr>
        <w:ind w:right="140"/>
        <w:spacing w:after="0" w:line="276" w:lineRule="auto"/>
        <w:rPr>
          <w:sz w:val="20"/>
          <w:szCs w:val="20"/>
          <w:color w:val="auto"/>
        </w:rPr>
      </w:pPr>
      <w:r>
        <w:rPr>
          <w:rFonts w:ascii="Arial" w:cs="Arial" w:eastAsia="Arial" w:hAnsi="Arial"/>
          <w:sz w:val="22"/>
          <w:szCs w:val="22"/>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22"/>
          <w:szCs w:val="22"/>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99"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auto"/>
        </w:rPr>
        <w:t>We are unable to predict the extent or nature of the impacts of evolving circumstances in the financial services industry at this time. If, for example, certain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72" w:lineRule="exact"/>
        <w:rPr>
          <w:sz w:val="20"/>
          <w:szCs w:val="20"/>
          <w:color w:val="auto"/>
        </w:rPr>
      </w:pPr>
    </w:p>
    <w:p>
      <w:pPr>
        <w:ind w:right="240"/>
        <w:spacing w:after="0" w:line="261" w:lineRule="auto"/>
        <w:rPr>
          <w:sz w:val="20"/>
          <w:szCs w:val="20"/>
          <w:color w:val="auto"/>
        </w:rPr>
      </w:pPr>
      <w:r>
        <w:rPr>
          <w:rFonts w:ascii="Arial" w:cs="Arial" w:eastAsia="Arial" w:hAnsi="Arial"/>
          <w:sz w:val="22"/>
          <w:szCs w:val="22"/>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10220"/>
          </w:cols>
          <w:pgMar w:left="820" w:top="668" w:right="840" w:bottom="0" w:gutter="0" w:footer="0" w:header="0"/>
          <w:type w:val="continuous"/>
        </w:sectPr>
      </w:pPr>
    </w:p>
    <w:bookmarkStart w:id="116" w:name="page117"/>
    <w:bookmarkEnd w:id="116"/>
    <w:p>
      <w:pPr>
        <w:ind w:right="40"/>
        <w:spacing w:after="0" w:line="276" w:lineRule="auto"/>
        <w:rPr>
          <w:sz w:val="20"/>
          <w:szCs w:val="20"/>
          <w:color w:val="auto"/>
        </w:rPr>
      </w:pPr>
      <w:r>
        <w:rPr>
          <w:rFonts w:ascii="Arial" w:cs="Arial" w:eastAsia="Arial" w:hAnsi="Arial"/>
          <w:sz w:val="20"/>
          <w:szCs w:val="20"/>
          <w:color w:val="auto"/>
        </w:rPr>
        <w:t>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the past,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w:t>
      </w:r>
    </w:p>
    <w:p>
      <w:pPr>
        <w:spacing w:after="0" w:line="183" w:lineRule="exact"/>
        <w:rPr>
          <w:sz w:val="20"/>
          <w:szCs w:val="20"/>
          <w:color w:val="auto"/>
        </w:rPr>
      </w:pPr>
    </w:p>
    <w:p>
      <w:pPr>
        <w:ind w:right="480"/>
        <w:spacing w:after="0" w:line="287" w:lineRule="auto"/>
        <w:rPr>
          <w:sz w:val="20"/>
          <w:szCs w:val="20"/>
          <w:color w:val="auto"/>
        </w:rPr>
      </w:pPr>
      <w:r>
        <w:rPr>
          <w:rFonts w:ascii="Arial" w:cs="Arial" w:eastAsia="Arial" w:hAnsi="Arial"/>
          <w:sz w:val="20"/>
          <w:szCs w:val="20"/>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160"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b w:val="1"/>
          <w:bCs w:val="1"/>
          <w:i w:val="1"/>
          <w:iCs w:val="1"/>
          <w:color w:val="auto"/>
        </w:rPr>
        <w:t>The U.S. Congress, the Trump administration, or any new administration may make substantial changes to fiscal, tax, and other federal policies that may adversely affect our business.</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Since the start of the Trump Administration in 2025, U.S. policy changes have been implemented at a rapid pace and additional changes are likely. For example, the U.S. government has adopted new approaches to trade policy and in some cases may renegotiate, or potentially terminate, certain existing bilateral or multi-lateral trade agreements. The U.S. government has also imposed substantial tariffs on most countries throughout the world and has further threatened to continue to broadly impose tariffs, which could lead to corresponding punitive actions by the countries with which the U.S. trades. While certain tariffs have been suspended, modified or temporarily reduced, we cannot predict the results of the U.S. government’s trade negotiations or the outcome of ongoing legal challenges to specific tariff policies. For example, in February 2026, the U.S. Supreme Court struck down certain tariffs previously imposed by the U.S. government, but the Trump Administration has expressed an intention to reinstate and in certain cases increase tariffs in response. The timing, scope, duration, and potential exemptions associated with these new tariffs remain subject to further administrative action and clarification.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Risks related to cybersecurity</w:t>
      </w:r>
    </w:p>
    <w:p>
      <w:pPr>
        <w:spacing w:after="0" w:line="231" w:lineRule="exact"/>
        <w:rPr>
          <w:sz w:val="20"/>
          <w:szCs w:val="20"/>
          <w:color w:val="auto"/>
        </w:rPr>
      </w:pPr>
    </w:p>
    <w:p>
      <w:pPr>
        <w:ind w:right="220"/>
        <w:spacing w:after="0" w:line="321" w:lineRule="auto"/>
        <w:rPr>
          <w:sz w:val="20"/>
          <w:szCs w:val="20"/>
          <w:color w:val="auto"/>
        </w:rPr>
      </w:pPr>
      <w:r>
        <w:rPr>
          <w:rFonts w:ascii="Arial" w:cs="Arial" w:eastAsia="Arial" w:hAnsi="Arial"/>
          <w:sz w:val="19"/>
          <w:szCs w:val="19"/>
          <w:b w:val="1"/>
          <w:bCs w:val="1"/>
          <w:i w:val="1"/>
          <w:iCs w:val="1"/>
          <w:color w:val="auto"/>
        </w:rPr>
        <w:t>We may be unable to adequately protect our information systems from cyberattacks, cybersecurity incidents, or compromises, which could result in the disclosure of confidential or proprietary information, including personal data, damage our reputation, and subject us to significant financial and legal exposure.</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10200"/>
          </w:cols>
          <w:pgMar w:left="820" w:top="678" w:right="860" w:bottom="0" w:gutter="0" w:footer="0" w:header="0"/>
          <w:type w:val="continuous"/>
        </w:sectPr>
      </w:pPr>
    </w:p>
    <w:bookmarkStart w:id="117" w:name="page118"/>
    <w:bookmarkEnd w:id="117"/>
    <w:p>
      <w:pPr>
        <w:spacing w:after="0" w:line="272" w:lineRule="auto"/>
        <w:rPr>
          <w:sz w:val="20"/>
          <w:szCs w:val="20"/>
          <w:color w:val="auto"/>
        </w:rPr>
      </w:pPr>
      <w:r>
        <w:rPr>
          <w:rFonts w:ascii="Arial" w:cs="Arial" w:eastAsia="Arial" w:hAnsi="Arial"/>
          <w:sz w:val="20"/>
          <w:szCs w:val="20"/>
          <w:color w:val="auto"/>
        </w:rPr>
        <w:t>We rely on information technology systems that we or our third-party providers operate to process, transmit and store electronic information in our day-to-day operations. In connection with our product development efforts, we may collect and use a variety of personal data, such as name, mailing address, email addresses, phone number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including new attack methods and vectors facilitated or enhanced by use of artificial intelligence. Cyberattacks could include wrongful conduct by hostile foreign governments, industrial espionage, wire fraud and other forms of cyber fraud, the deployment of harmful malware, denial-of-service, social engineering fraud (including phishing attacks)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or other cybersecurity incidents that would result in business, legal, financial or reputational harm to us, or would have a material adverse effect on our results of operations and financial condition. Like other companies in our industry, we, and our third party vendors, have experienced, and will continue to experience, cybersecurity threats and incidents relating to our information technology systems and infrastructure. Any failure to prevent or mitigate cybersecurity breaches, other cybersecurity incidents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91" w:lineRule="exact"/>
        <w:rPr>
          <w:sz w:val="20"/>
          <w:szCs w:val="20"/>
          <w:color w:val="auto"/>
        </w:rPr>
      </w:pPr>
    </w:p>
    <w:p>
      <w:pPr>
        <w:ind w:right="320"/>
        <w:spacing w:after="0" w:line="287" w:lineRule="auto"/>
        <w:rPr>
          <w:sz w:val="20"/>
          <w:szCs w:val="20"/>
          <w:color w:val="auto"/>
        </w:rPr>
      </w:pPr>
      <w:r>
        <w:rPr>
          <w:rFonts w:ascii="Arial" w:cs="Arial" w:eastAsia="Arial" w:hAnsi="Arial"/>
          <w:sz w:val="20"/>
          <w:szCs w:val="20"/>
          <w:color w:val="auto"/>
        </w:rPr>
        <w:t>Some cyber security incidents may be very difficult to prevent. For example, supply chain incidents involving previously unknown vulnerabilities in widely-used software are becoming increasingly common. While we are not currently aware of any impact from supply chain vulnerabilities, there is residual risk that we may experience cybersecurity threats from such supply chain vulnerabilities in the future.</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The use of new and evolving technologies, such as artificial intelligence and machine learning,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Additionally, use of generative AI models in our internal or third-party systems may create new attack surfaces or methods for adversaries, which could impact us and our vendors. The integration of AI systems, by us or by our vendors, may increase cybersecurity risk that implicates personal information of customers or patients. Any cybersecurity incidents or data breaches related to our use of AI could adversely affect our reputation and results of operations.</w:t>
      </w:r>
    </w:p>
    <w:p>
      <w:pPr>
        <w:spacing w:after="0" w:line="182"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color w:val="auto"/>
        </w:rPr>
        <w:t>Further, while we maintain insurance coverage, we cannot assure that such coverage will be adequate or otherwise protect us from or adequately mitigate liabilities or damages with respect to claims, costs, expenses, litigation, fines, penalties, business loss, data loss, regulatory actions or material adverse effects arising out of our privacy and cybersecurity practices, or that such coverage will continue to be available on acceptable terms or at all. The market for cyber insurance is tightening, and coverage for ransomware, data breaches and other cybersecurity incidents may be reduced or eliminated.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10220"/>
          </w:cols>
          <w:pgMar w:left="820" w:top="678" w:right="840" w:bottom="0" w:gutter="0" w:footer="0" w:header="0"/>
          <w:type w:val="continuous"/>
        </w:sectPr>
      </w:pPr>
    </w:p>
    <w:bookmarkStart w:id="118" w:name="page119"/>
    <w:bookmarkEnd w:id="118"/>
    <w:p>
      <w:pPr>
        <w:ind w:right="20"/>
        <w:spacing w:after="0" w:line="273" w:lineRule="auto"/>
        <w:rPr>
          <w:sz w:val="20"/>
          <w:szCs w:val="20"/>
          <w:color w:val="auto"/>
        </w:rPr>
      </w:pPr>
      <w:r>
        <w:rPr>
          <w:rFonts w:ascii="Arial" w:cs="Arial" w:eastAsia="Arial" w:hAnsi="Arial"/>
          <w:sz w:val="20"/>
          <w:szCs w:val="20"/>
          <w:color w:val="auto"/>
        </w:rPr>
        <w:t>In addition, the computer systems of various third parties on which we rely, including our CROs and other contractors, consultants and law and accounting firms, may sustain damage from computer viruses, unauthorized access, data breaches, phishing attacks, cybercriminals, malicious uses of artificial intelligence, natural disasters (including hurricanes and earthquakes), terrorism, war and telecommunication and electrical failures. We rely on our third-party providers to implement effective cybersecurity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including the costs of potential data breach notification obligations, any of which could have a material adverse effect on our business, results of operations, financial condition, prospects and cash flows. Any failure by such third parties to prevent or mitigate cybersecurity breaches or other cybersecurity incidents or improper access to or disclosure of such information could have similarly adverse consequences for us. If we are unable to prevent or mitigate the impact of such cybersecurity or data privacy breaches or other cybersecurity incidents, we could be exposed to litigation and governmental investigations, which could lead to a potential disruption to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1C. Cybersecurity</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Governance Related to Cybersecurity Risks</w:t>
      </w:r>
    </w:p>
    <w:p>
      <w:pPr>
        <w:spacing w:after="0" w:line="241" w:lineRule="exact"/>
        <w:rPr>
          <w:sz w:val="20"/>
          <w:szCs w:val="20"/>
          <w:color w:val="auto"/>
        </w:rPr>
      </w:pPr>
    </w:p>
    <w:p>
      <w:pPr>
        <w:ind w:right="40"/>
        <w:spacing w:after="0" w:line="283" w:lineRule="auto"/>
        <w:rPr>
          <w:sz w:val="20"/>
          <w:szCs w:val="20"/>
          <w:color w:val="auto"/>
        </w:rPr>
      </w:pPr>
      <w:r>
        <w:rPr>
          <w:rFonts w:ascii="Arial" w:cs="Arial" w:eastAsia="Arial" w:hAnsi="Arial"/>
          <w:sz w:val="20"/>
          <w:szCs w:val="20"/>
          <w:color w:val="auto"/>
        </w:rPr>
        <w:t>Our board of directors has overall oversight responsibility for our risk management, and delegates its oversight of risk assessment and management guidelines to the audit committee of the board of directors. Members of the audit committee receive periodic updates from senior management regarding matters of cybersecurity. These discussions may include updates on management’s efforts to address and mitigate cybersecurity risks, cybersecurity incidents (if any), and the status of key information security initiatives.</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Under the oversight of our Chief Executive Officer (CEO) and executive management team, we have constituted an Information Technology (IT) Steering Committee that has primary responsibility for overseeing our management of cybersecurity risks. The IT Steering Committee is chaired by our Chief Operating Officer and General Counsel, supported by an external IT consultant who operates as our Head of Information Technology (Head of IT) and an external cybersecurity firm. Other members of the IT Steering Committee include representatives from clinical development, technical operations, finance, human resources, business operations and legal.</w:t>
      </w:r>
    </w:p>
    <w:p>
      <w:pPr>
        <w:spacing w:after="0" w:line="165"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Our Head of IT, working with our third-party cybersecurity firm, Chief Operating Officer and General Counsel, and the IT Steering Committee, assesses and manages our cybersecurity threat management processes. Our Head of IT has 35 years of information technology experience, building and leading teams in the pharmaceutical and biotechnology industries, and has worked with a variety of institutions to implement, manage, and scale the information technology function, including cybersecurity programs. These entities have included publicly-traded companies and smaller startups. His experience also includes developing and maintaining tools and processes to protect internal networks, research and clinical databases, and supplier payment information and financial systems.</w:t>
      </w:r>
    </w:p>
    <w:p>
      <w:pPr>
        <w:spacing w:after="0" w:line="182" w:lineRule="exact"/>
        <w:rPr>
          <w:sz w:val="20"/>
          <w:szCs w:val="20"/>
          <w:color w:val="auto"/>
        </w:rPr>
      </w:pPr>
    </w:p>
    <w:p>
      <w:pPr>
        <w:ind w:right="80"/>
        <w:spacing w:after="0" w:line="254" w:lineRule="auto"/>
        <w:rPr>
          <w:sz w:val="20"/>
          <w:szCs w:val="20"/>
          <w:color w:val="auto"/>
        </w:rPr>
      </w:pPr>
      <w:r>
        <w:rPr>
          <w:rFonts w:ascii="Arial" w:cs="Arial" w:eastAsia="Arial" w:hAnsi="Arial"/>
          <w:sz w:val="22"/>
          <w:szCs w:val="22"/>
          <w:color w:val="auto"/>
        </w:rPr>
        <w:t>The IT Steering Committee meets as circumstances warrant, to discuss and monitor prevention, detection, mitigation and remediation of risks from cybersecurity threats. The Head of IT provides updates to the Chief Operating Officer and General Counsel who communicates with the executive management team, and, as needed, the Audit Committee, on cybersecurity developments.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10220"/>
          </w:cols>
          <w:pgMar w:left="820" w:top="678" w:right="840" w:bottom="0" w:gutter="0" w:footer="0" w:header="0"/>
          <w:type w:val="continuous"/>
        </w:sectPr>
      </w:pPr>
    </w:p>
    <w:bookmarkStart w:id="119" w:name="page120"/>
    <w:bookmarkEnd w:id="119"/>
    <w:p>
      <w:pPr>
        <w:ind w:right="20"/>
        <w:spacing w:after="0" w:line="296" w:lineRule="auto"/>
        <w:rPr>
          <w:sz w:val="20"/>
          <w:szCs w:val="20"/>
          <w:color w:val="auto"/>
        </w:rPr>
      </w:pPr>
      <w:r>
        <w:rPr>
          <w:rFonts w:ascii="Arial" w:cs="Arial" w:eastAsia="Arial" w:hAnsi="Arial"/>
          <w:sz w:val="20"/>
          <w:szCs w:val="20"/>
          <w:color w:val="auto"/>
        </w:rPr>
        <w:t>In addition, our IT Security Team is responsible for reviewing the results of our cybersecurity assessments and related cybersecurity strategies as well as emerging threats in the cybersecurity landscape. The IT Security Team meets regularly and includes members from our cybersecurity firm and internal IT team.</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Cyber Risk Management and Strategy</w:t>
      </w:r>
    </w:p>
    <w:p>
      <w:pPr>
        <w:spacing w:after="0" w:line="241"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Under the guidance of the IT Steering Committee, Chief Operating Officer and General Counsel, and Head of IT, we have adopted cybersecurity risk management processes that are designed to address the identification of assets potentially at risk from cybersecurity threats, identification of potential sources of cybersecurity threats, assessment of protections to address cybersecurity threats, and the management of cybersecurity risks.</w:t>
      </w:r>
    </w:p>
    <w:p>
      <w:pPr>
        <w:spacing w:after="0" w:line="170" w:lineRule="exact"/>
        <w:rPr>
          <w:sz w:val="20"/>
          <w:szCs w:val="20"/>
          <w:color w:val="auto"/>
        </w:rPr>
      </w:pPr>
    </w:p>
    <w:p>
      <w:pPr>
        <w:ind w:right="60"/>
        <w:spacing w:after="0" w:line="280" w:lineRule="auto"/>
        <w:rPr>
          <w:sz w:val="20"/>
          <w:szCs w:val="20"/>
          <w:color w:val="auto"/>
        </w:rPr>
      </w:pPr>
      <w:r>
        <w:rPr>
          <w:rFonts w:ascii="Arial" w:cs="Arial" w:eastAsia="Arial" w:hAnsi="Arial"/>
          <w:sz w:val="20"/>
          <w:szCs w:val="20"/>
          <w:color w:val="auto"/>
        </w:rPr>
        <w:t>Under the direction of our Chief Operating Officer and General Counsel, working with our Head of IT, we have engaged a third-party cybersecurity firm, which provides cybersecurity support services for governance and security operations. Our cybersecurity firm is responsible for monitoring our information systems and implementing procedures to mitigate cyber risks. The cybersecurity firm keeps the Company apprised of threats in the cybersecurity landscape through various means, including through threat intelligence and research sources, discussions with industry peers, security alerts, and security conferences and events, as appropriate.</w:t>
      </w:r>
    </w:p>
    <w:p>
      <w:pPr>
        <w:spacing w:after="0" w:line="178" w:lineRule="exact"/>
        <w:rPr>
          <w:sz w:val="20"/>
          <w:szCs w:val="20"/>
          <w:color w:val="auto"/>
        </w:rPr>
      </w:pPr>
    </w:p>
    <w:p>
      <w:pPr>
        <w:ind w:right="240"/>
        <w:spacing w:after="0" w:line="306" w:lineRule="auto"/>
        <w:rPr>
          <w:sz w:val="20"/>
          <w:szCs w:val="20"/>
          <w:color w:val="auto"/>
        </w:rPr>
      </w:pPr>
      <w:r>
        <w:rPr>
          <w:rFonts w:ascii="Arial" w:cs="Arial" w:eastAsia="Arial" w:hAnsi="Arial"/>
          <w:sz w:val="19"/>
          <w:szCs w:val="19"/>
          <w:color w:val="auto"/>
        </w:rPr>
        <w:t>The cybersecurity firm also manages our network monitoring, designed to identify potential security risks, and conducts regular testing, scanning, and other vulnerability analyses. We have also implemented a process to require employees to complete a cybersecurity education program upon onboarding, and all employees complete periodic cybersecurity simulations that are designed to raise awareness of cybersecurity threats and risks.</w:t>
      </w:r>
    </w:p>
    <w:p>
      <w:pPr>
        <w:spacing w:after="0" w:line="156"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color w:val="auto"/>
        </w:rPr>
        <w:t>We have a process to review security features for adherence to applicable regulatory requirements and financial controls before purchasing certain third party technology or other solutions that involve exposure to the Company’s assets or electronic information. From time to time, after the technology is in place, we may also conduct periodic reviews of available security documentation such as audit reporting and certifications.</w:t>
      </w:r>
    </w:p>
    <w:p>
      <w:pPr>
        <w:spacing w:after="0" w:line="170" w:lineRule="exact"/>
        <w:rPr>
          <w:sz w:val="20"/>
          <w:szCs w:val="20"/>
          <w:color w:val="auto"/>
        </w:rPr>
      </w:pPr>
    </w:p>
    <w:p>
      <w:pPr>
        <w:ind w:right="40"/>
        <w:spacing w:after="0" w:line="306" w:lineRule="auto"/>
        <w:rPr>
          <w:sz w:val="20"/>
          <w:szCs w:val="20"/>
          <w:color w:val="auto"/>
        </w:rPr>
      </w:pPr>
      <w:r>
        <w:rPr>
          <w:rFonts w:ascii="Arial" w:cs="Arial" w:eastAsia="Arial" w:hAnsi="Arial"/>
          <w:sz w:val="19"/>
          <w:szCs w:val="19"/>
          <w:color w:val="auto"/>
        </w:rPr>
        <w:t>Although, as of the date of this Annual Report, risks from cybersecurity threats have not materially affected, and we do not believe they are reasonably likely to materially affect us, our business strategy, results of operations or financial condition, we could, from time to time, experience threats and security incidents relating to our and our third party vendors’ information systems. For more information, please see the section entitled “Item 1A. 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48" w:lineRule="exact"/>
        <w:rPr>
          <w:sz w:val="20"/>
          <w:szCs w:val="20"/>
          <w:color w:val="auto"/>
        </w:rPr>
      </w:pPr>
    </w:p>
    <w:p>
      <w:pPr>
        <w:ind w:right="360"/>
        <w:spacing w:after="0" w:line="271" w:lineRule="auto"/>
        <w:rPr>
          <w:sz w:val="20"/>
          <w:szCs w:val="20"/>
          <w:color w:val="auto"/>
        </w:rPr>
      </w:pPr>
      <w:r>
        <w:rPr>
          <w:rFonts w:ascii="Arial" w:cs="Arial" w:eastAsia="Arial" w:hAnsi="Arial"/>
          <w:sz w:val="22"/>
          <w:szCs w:val="22"/>
          <w:color w:val="auto"/>
        </w:rPr>
        <w:t>We lease office space for our principal office on a month-to-month basis, which is located at 245 First Street, 18th Floor, Cambridge, MA 02142.</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lease a facility containing approximately 25,578 square feet of office space, which is located at One Main Street, Cambridge, MA 02142. The lease expires on August 31, 2028, subject to an option to extend the lease for five additional years. In December 2022, we entered into a sublease for one floor, approximately 14,439 square feet, of our Cambridge, MA office space, which also terminates on August 31, 2028. In December 2025, we entered into a sublease for the other floor, approximately 11,139 square feet, of our Cambridge, MA office space, which also terminates on August 31, 2028.</w:t>
      </w:r>
    </w:p>
    <w:p>
      <w:pPr>
        <w:spacing w:after="0" w:line="206" w:lineRule="exact"/>
        <w:rPr>
          <w:sz w:val="20"/>
          <w:szCs w:val="20"/>
          <w:color w:val="auto"/>
        </w:rPr>
      </w:pPr>
    </w:p>
    <w:p>
      <w:pPr>
        <w:jc w:val="both"/>
        <w:ind w:right="300"/>
        <w:spacing w:after="0" w:line="251" w:lineRule="auto"/>
        <w:rPr>
          <w:sz w:val="20"/>
          <w:szCs w:val="20"/>
          <w:color w:val="auto"/>
        </w:rPr>
      </w:pPr>
      <w:r>
        <w:rPr>
          <w:rFonts w:ascii="Arial" w:cs="Arial" w:eastAsia="Arial" w:hAnsi="Arial"/>
          <w:sz w:val="22"/>
          <w:szCs w:val="22"/>
          <w:color w:val="auto"/>
        </w:rPr>
        <w:t>We also lease approximately 18,120 square feet of office and laboratory space at 430 East 29th Street, New York, New York 10016. The lease expires on August 30, 2032, subject to an option to extend the lease for five additional years. In June 2024, we entered into a sublease for our office and laboratory space in New York, NY. The sublease terminates on June 30, 2026. We believe that our current facilities are sufficient to meet our current and near term needs.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10220"/>
          </w:cols>
          <w:pgMar w:left="820" w:top="678" w:right="84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Item 3. Legal Proceedings</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From time to time, we may become involved in legal proceedings arising in the ordinary course of our business. We are not currently aware of any such proceedings or claims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880" w:h="15480" w:orient="portrait"/>
          <w:cols w:equalWidth="0" w:num="1">
            <w:col w:w="10220"/>
          </w:cols>
          <w:pgMar w:left="820" w:top="67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10220"/>
          </w:cols>
          <w:pgMar w:left="820" w:top="670" w:right="840" w:bottom="0" w:gutter="0" w:footer="0" w:header="0"/>
          <w:type w:val="continuous"/>
        </w:sectPr>
      </w:pPr>
    </w:p>
    <w:bookmarkStart w:id="121" w:name="page122"/>
    <w:bookmarkEnd w:id="121"/>
    <w:p>
      <w:pPr>
        <w:jc w:val="center"/>
        <w:ind w:right="-59"/>
        <w:spacing w:after="0"/>
        <w:rPr>
          <w:sz w:val="20"/>
          <w:szCs w:val="20"/>
          <w:color w:val="auto"/>
        </w:rPr>
      </w:pPr>
      <w:r>
        <w:rPr>
          <w:rFonts w:ascii="Arial" w:cs="Arial" w:eastAsia="Arial" w:hAnsi="Arial"/>
          <w:sz w:val="22"/>
          <w:szCs w:val="22"/>
          <w:b w:val="1"/>
          <w:bCs w:val="1"/>
          <w:color w:val="auto"/>
        </w:rPr>
        <w:t>PART II</w:t>
      </w:r>
    </w:p>
    <w:p>
      <w:pPr>
        <w:spacing w:after="0" w:line="241"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Information Regarding the Trading of Our Common Stock</w:t>
      </w:r>
    </w:p>
    <w:p>
      <w:pPr>
        <w:spacing w:after="0" w:line="248" w:lineRule="exact"/>
        <w:rPr>
          <w:sz w:val="20"/>
          <w:szCs w:val="20"/>
          <w:color w:val="auto"/>
        </w:rPr>
      </w:pPr>
    </w:p>
    <w:p>
      <w:pPr>
        <w:ind w:right="460"/>
        <w:spacing w:after="0" w:line="322" w:lineRule="auto"/>
        <w:rPr>
          <w:sz w:val="20"/>
          <w:szCs w:val="20"/>
          <w:color w:val="auto"/>
        </w:rPr>
      </w:pPr>
      <w:r>
        <w:rPr>
          <w:rFonts w:ascii="Arial" w:cs="Arial" w:eastAsia="Arial" w:hAnsi="Arial"/>
          <w:sz w:val="20"/>
          <w:szCs w:val="20"/>
          <w:color w:val="auto"/>
        </w:rPr>
        <w:t>Our common stock trades under the symbol “BDTX” on the Nasdaq Global Select Market and has been publicly traded since January 30, 2020. Prior to this time, there was no public market for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Our Common Stock</w:t>
      </w:r>
    </w:p>
    <w:p>
      <w:pPr>
        <w:spacing w:after="0" w:line="248" w:lineRule="exact"/>
        <w:rPr>
          <w:sz w:val="20"/>
          <w:szCs w:val="20"/>
          <w:color w:val="auto"/>
        </w:rPr>
      </w:pPr>
    </w:p>
    <w:p>
      <w:pPr>
        <w:ind w:right="240"/>
        <w:spacing w:after="0" w:line="271" w:lineRule="auto"/>
        <w:rPr>
          <w:sz w:val="20"/>
          <w:szCs w:val="20"/>
          <w:color w:val="auto"/>
        </w:rPr>
      </w:pPr>
      <w:r>
        <w:rPr>
          <w:rFonts w:ascii="Arial" w:cs="Arial" w:eastAsia="Arial" w:hAnsi="Arial"/>
          <w:sz w:val="22"/>
          <w:szCs w:val="22"/>
          <w:color w:val="auto"/>
        </w:rPr>
        <w:t>As of March 16, 2026, there were approximately 24 holders of record of shares of our common stock. This number does not include stockholders for whom shares are held in “nominee” or “street” name.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48" w:lineRule="exact"/>
        <w:rPr>
          <w:sz w:val="20"/>
          <w:szCs w:val="20"/>
          <w:color w:val="auto"/>
        </w:rPr>
      </w:pPr>
    </w:p>
    <w:p>
      <w:pPr>
        <w:ind w:right="320"/>
        <w:spacing w:after="0" w:line="301" w:lineRule="auto"/>
        <w:rPr>
          <w:sz w:val="20"/>
          <w:szCs w:val="20"/>
          <w:color w:val="auto"/>
        </w:rPr>
      </w:pPr>
      <w:r>
        <w:rPr>
          <w:rFonts w:ascii="Arial" w:cs="Arial" w:eastAsia="Arial" w:hAnsi="Arial"/>
          <w:sz w:val="19"/>
          <w:szCs w:val="19"/>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 Any future determination to pay dividends will be at the discretion of our board of directors and will depend on our results of operations, financial condition, capital requirements, contractual restrictions and other factors deemed relevant by our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48" w:lineRule="exact"/>
        <w:rPr>
          <w:sz w:val="20"/>
          <w:szCs w:val="20"/>
          <w:color w:val="auto"/>
        </w:rPr>
      </w:pPr>
    </w:p>
    <w:p>
      <w:pPr>
        <w:ind w:right="420"/>
        <w:spacing w:after="0" w:line="271" w:lineRule="auto"/>
        <w:rPr>
          <w:sz w:val="20"/>
          <w:szCs w:val="20"/>
          <w:color w:val="auto"/>
        </w:rPr>
      </w:pPr>
      <w:r>
        <w:rPr>
          <w:rFonts w:ascii="Arial" w:cs="Arial" w:eastAsia="Arial" w:hAnsi="Arial"/>
          <w:sz w:val="22"/>
          <w:szCs w:val="22"/>
          <w:color w:val="auto"/>
        </w:rPr>
        <w:t>The information required by Item 5 of Form 10-K regarding equity compensation plans is incorporated herein by reference to Item 12 of Part III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Sales of Unregistered Securities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Purchases of Equity Securities by the Issuer and Affiliated Purchasers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We did not purchase any of our registered equity securities during the period covered by this Annual Report.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880" w:h="15480" w:orient="portrait"/>
          <w:cols w:equalWidth="0" w:num="1">
            <w:col w:w="10180"/>
          </w:cols>
          <w:pgMar w:left="820" w:top="67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10180"/>
          </w:cols>
          <w:pgMar w:left="820" w:top="670" w:right="88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45"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b w:val="1"/>
          <w:bCs w:val="1"/>
          <w:i w:val="1"/>
          <w:iCs w:val="1"/>
          <w:color w:val="auto"/>
        </w:rPr>
        <w:t>The following discussion and analysis should be read in conjunction with our audited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20"/>
          <w:szCs w:val="20"/>
          <w:color w:val="auto"/>
        </w:rPr>
        <w:t>We are a clinical-stage oncology company developing MasterKey therapies that target families of oncogenic mutations in patients with cancer. The foundation of our company is built upon a deep understanding of cancer genetics, onco-protein structure and function, and medicinal chemistry. Our MasterKey therapies are designed to address a broad spectrum of genetically defined tumors, overcome resistance, minimize wild-type mediated toxicities, and be brain-penetrant to treat central nervous system (CNS) disease. Our compounds target families of oncogenic mutations in clinically validated pathways. Our lead clinical-stage program, silevertinib (formerly BDTX-1535), is a brain-penetrant, fourth-generation epidermal growth factor receptor (EGFR) MasterKey inhibitor targeting epidermal growth factor receptor mutant (EGFRm) non-small cell lung cancer (NSCLC) and glioblastoma (GBM). We are advancing a Phase 2 trial in NSCLC patients and plan to initiate a randomized Phase 2 trial of silevertinib in newly diagnosed patients with EGFR altered glioblastoma (GBM) in the second quarter of 2026.</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20"/>
          <w:szCs w:val="20"/>
          <w:color w:val="auto"/>
        </w:rPr>
        <w:t>We believe that our clinical-stage lead product candidate, silevertinib, has the potential to treat newly diagnosed patients with EGFRm NSCLC, as well as those with recurrent disease, based upon silevertinib’s ability to address greater than 50 classical and non-classical oncogenic driver mutations with greater potency than other EGFR tyrosine kinase inhibitors (TKIs), as well as uniquely target the C797S resistance mutation which can be acquired after treatment with osimertinib. Silevertinib was shown to be well tolerated and achieve durable clinical responses in our Phase 1 trial in patients with recurrent EGFRm NSCLC whose tumors expressed a range of mutation subtypes, including the acquired C797S resistance mutation and a broad spectrum of non-classical mutations. Initial data from a Phase 2 trial of 83 patients with EGFRm NSCLC in the second- and third-line settings demonstrated encouraging clinical responses, robust EGFRm target coverage, a favorable tolerability profile with no new safety signals observed, and durability of silevertinib.</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We are currently evaluating silevertinib in a Phase 2 clinical trial in the first-line setting in patients with EGFRm NSCLC harboring non-classical EGFR mutations and in the fourth quarter of 2025, we announced initial data from our Phase 2 trial of 43 frontline NSCLC patients harboring a broad spectrum of 35 distinct non-classical EGFR mutations, including 16 patients with brain metastases (7 of whom had measurable CNS target lesions). All patients were enrolled at a 200mg oral daily dose of silevertinib. Efficacy and safety were assessed with a November 3, 2025 data cutoff and median follow-up time as of this date was 7.2 months, the study is fully enrolled and remains ongoing. The initial data from this trial was encouraging with 25 confirmed partial responses and 1 confirmed complete response equating to a 60% Objective Response Rate (ORR by RECIST 1.1). CNS ORR (by RANO-BM) was 86% and the disease control rate (DCR) was 91%. No new safety signals were observed. Adverse events (AEs) experienced by a majority of patients include rash, stomatitis, diarrhea and paronychia and were managed with standard supportive care and dose interruptions or reductions without compromising response depth or durability. As of the November 3, 2025 data cutoff, 29 patients remained on therapy (5 of 29 after progression) with one patient having been on therapy for more than 19 months. We plan to present updated results from the Phase 2 NSCLC trial, including preliminary duration of response (DOR) and progression-free survival (PFS) data in the frontline setting (43 patients) as well as updated clinical results in the recurrent setting (83 patients), at a medical meeting in the second quarter of 2026.</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10240"/>
          </w:cols>
          <w:pgMar w:left="820" w:top="670" w:right="820" w:bottom="0" w:gutter="0" w:footer="0" w:header="0"/>
          <w:type w:val="continuous"/>
        </w:sectPr>
      </w:pPr>
    </w:p>
    <w:bookmarkStart w:id="123" w:name="page124"/>
    <w:bookmarkEnd w:id="123"/>
    <w:p>
      <w:pPr>
        <w:spacing w:after="0" w:line="272" w:lineRule="auto"/>
        <w:rPr>
          <w:sz w:val="20"/>
          <w:szCs w:val="20"/>
          <w:color w:val="auto"/>
        </w:rPr>
      </w:pPr>
      <w:r>
        <w:rPr>
          <w:rFonts w:ascii="Arial" w:cs="Arial" w:eastAsia="Arial" w:hAnsi="Arial"/>
          <w:sz w:val="20"/>
          <w:szCs w:val="20"/>
          <w:color w:val="auto"/>
        </w:rPr>
        <w:t>Silevertinib has demonstrated encouraging CNS activity in multiple trials across NSCLC and GBM. In our Phase 2 in frontline patients with EGFRm NSCLC 86% of patients achieved a confirmed CNS response. The results from our Phase 1 trial of silevertinib in patients with relapsed/recurrent GBM (presented at ASCO in 2024) showed encouraging duration of treatment and clinical activity, and a tolerability profile consistent with the initial safety data seen in patients with recurrent NSCLC. A Phase 0/1 “window of opportunity” study sponsored by the Ivy Brain Tumor Center in Phoenix, Arizona in patients with recurrent high-grade glioma (HGG) with EGFR alterations and/or fusions at initial diagnosis demonstrated that silevertinib exceeded the pre-specified threshold for drug concentration in the brain tumor tissue and was generally well tolerated. It also showed that silevertinib penetrates non-contrast enhancing regions of glioblastoma and suppresses EGFR signaling in patient tumors. Based on these data and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are preparing to initiate a randomized Phase 2 trial in this patient population in the second quarter of 2026. After a combination safety lead-in of silevertinib plus temozolomide (TMZ), the trial is expected to enroll approximately 150 newly diagnosed patients, randomized to receive TMZ (as the control arm) or silevertinib plus TMZ (as the experimental arm). The eligible patient population will be on EGFRvIII-positive patients (approximately 30% of GBM patients) who are O-6-methylguanine-DNA methyltransferase (MGMT) -negative (unmethylated). Randomization and treatment will begin after patients have had surgical resection and radiation and are eligible for maintenance TMZ. The primary endpoint of the trial will be PFS (RANO by blinded independent committee review, or BICR), with a planned futility analysis, and an interim PFS analysis anticipated in the first half 2028. The secondary endpoint of the trial will be overall survival (OS). The trial will be governed by an independent data monitoring committee (IDMC).</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We are also continuing to explore potential partnership opportunities to advance silevertinib into pivotal development.</w:t>
      </w:r>
    </w:p>
    <w:p>
      <w:pPr>
        <w:spacing w:after="0" w:line="275"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 xml:space="preserve">Our second clinical-stage asset, BDTX-4933 (also known as S241656), was outlicensed to Servier Pharmaceuticals LLC (Servier) in the first quarter of 2025. Pursuant to the license agreement, we granted to Servier a global license to develop and commercialize BDTX-4933. Under the terms of the license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15, </w:t>
      </w:r>
      <w:r>
        <w:rPr>
          <w:rFonts w:ascii="Arial" w:cs="Arial" w:eastAsia="Arial" w:hAnsi="Arial"/>
          <w:sz w:val="22"/>
          <w:szCs w:val="22"/>
          <w:b w:val="1"/>
          <w:bCs w:val="1"/>
          <w:i w:val="1"/>
          <w:iCs w:val="1"/>
          <w:color w:val="auto"/>
        </w:rPr>
        <w:t>License</w:t>
      </w:r>
      <w:r>
        <w:rPr>
          <w:rFonts w:ascii="Arial" w:cs="Arial" w:eastAsia="Arial" w:hAnsi="Arial"/>
          <w:sz w:val="21"/>
          <w:szCs w:val="21"/>
          <w:color w:val="auto"/>
        </w:rPr>
        <w:t xml:space="preserve"> </w:t>
      </w:r>
      <w:r>
        <w:rPr>
          <w:rFonts w:ascii="Arial" w:cs="Arial" w:eastAsia="Arial" w:hAnsi="Arial"/>
          <w:sz w:val="22"/>
          <w:szCs w:val="22"/>
          <w:b w:val="1"/>
          <w:bCs w:val="1"/>
          <w:i w:val="1"/>
          <w:iCs w:val="1"/>
          <w:color w:val="auto"/>
        </w:rPr>
        <w:t>Revenue</w:t>
      </w:r>
      <w:r>
        <w:rPr>
          <w:rFonts w:ascii="Arial" w:cs="Arial" w:eastAsia="Arial" w:hAnsi="Arial"/>
          <w:sz w:val="20"/>
          <w:szCs w:val="20"/>
          <w:color w:val="auto"/>
        </w:rPr>
        <w:t>, to the consolidated financial statements included elsewhere in this Annual Report for additional</w:t>
      </w:r>
      <w:r>
        <w:rPr>
          <w:rFonts w:ascii="Arial" w:cs="Arial" w:eastAsia="Arial" w:hAnsi="Arial"/>
          <w:sz w:val="22"/>
          <w:szCs w:val="22"/>
          <w:b w:val="1"/>
          <w:bCs w:val="1"/>
          <w:i w:val="1"/>
          <w:iCs w:val="1"/>
          <w:color w:val="auto"/>
        </w:rPr>
        <w:t xml:space="preserve"> </w:t>
      </w:r>
      <w:r>
        <w:rPr>
          <w:rFonts w:ascii="Arial" w:cs="Arial" w:eastAsia="Arial" w:hAnsi="Arial"/>
          <w:sz w:val="20"/>
          <w:szCs w:val="20"/>
          <w:color w:val="auto"/>
        </w:rPr>
        <w:t>information.</w:t>
      </w:r>
    </w:p>
    <w:p>
      <w:pPr>
        <w:spacing w:after="0" w:line="195"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Since our inception in 2014, we have devoted substantially all of our efforts and financial resources to organizing and staffing our company, business planning, raising capital, discovering product candidates and securing related intellectual property rights while conducting research and development activities for our programs. We do not have any products approved for sale and have not generated any revenue from product sales. We may never be able to develop or commercialize a marketable product. We have not yet successfully completed any pivotal clinical trials, obtained any regulatory marketing approvals, manufactured a commercial-scale drug, or conducted sales and marketing activities.</w:t>
      </w:r>
    </w:p>
    <w:p>
      <w:pPr>
        <w:spacing w:after="0" w:line="209"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To date, we have funded our operations with proceeds from the sale of common stock and preferred stock. Since inception, we have incurred significant operating losses. Our net income was $22.4 million and our net loss was $69.7 million for the years ended December 31, 2025 and 2024, respectively. As of December 31, 2025, we had an accumulated deficit of $464.7 million. Our ability to generate product revenue sufficient to achieve profitability will depend heavily on the successful development and eventual commercialization of our current or future product candidates. We expect that our expenses and capital requirements will increase substantially in connection with our ongoing activities, particularly if and as we:</w:t>
      </w:r>
    </w:p>
    <w:p>
      <w:pPr>
        <w:spacing w:after="0" w:line="64" w:lineRule="exact"/>
        <w:rPr>
          <w:sz w:val="20"/>
          <w:szCs w:val="20"/>
          <w:color w:val="auto"/>
        </w:rPr>
      </w:pPr>
    </w:p>
    <w:p>
      <w:pPr>
        <w:ind w:left="720" w:hanging="363"/>
        <w:spacing w:after="0"/>
        <w:tabs>
          <w:tab w:leader="none" w:pos="7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advance clinical development of silevertinib;</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obtain, maintain, expand, enforce and protect our intellectual property portfolio;</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10220"/>
          </w:cols>
          <w:pgMar w:left="820" w:top="678" w:right="840" w:bottom="0" w:gutter="0" w:footer="0" w:header="0"/>
          <w:type w:val="continuous"/>
        </w:sectPr>
      </w:pPr>
    </w:p>
    <w:bookmarkStart w:id="124" w:name="page125"/>
    <w:bookmarkEnd w:id="124"/>
    <w:p>
      <w:pPr>
        <w:ind w:left="720" w:hanging="363"/>
        <w:spacing w:after="0" w:line="271" w:lineRule="auto"/>
        <w:tabs>
          <w:tab w:leader="none" w:pos="7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maintain existing collaborations or strategic relationships and identify and enter into future license agreements and collaborations with third parties;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attract and retain key clinical, scientific, management and commercial personnel;</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seek marketing approvals for our product candidates that successfully complete clinical trials, if any; and</w:t>
      </w:r>
    </w:p>
    <w:p>
      <w:pPr>
        <w:spacing w:after="0" w:line="146" w:lineRule="exact"/>
        <w:rPr>
          <w:rFonts w:ascii="Arial" w:cs="Arial" w:eastAsia="Arial" w:hAnsi="Arial"/>
          <w:sz w:val="20"/>
          <w:szCs w:val="20"/>
          <w:color w:val="auto"/>
        </w:rPr>
      </w:pPr>
    </w:p>
    <w:p>
      <w:pPr>
        <w:ind w:left="720" w:hanging="363"/>
        <w:spacing w:after="0"/>
        <w:tabs>
          <w:tab w:leader="none" w:pos="7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acquire or in-license additional product candidates.</w:t>
      </w: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and licensing arrangements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and reduce headcount and general and administrative costs.</w:t>
      </w:r>
    </w:p>
    <w:p>
      <w:pPr>
        <w:spacing w:after="0" w:line="181" w:lineRule="exact"/>
        <w:rPr>
          <w:sz w:val="20"/>
          <w:szCs w:val="20"/>
          <w:color w:val="auto"/>
        </w:rPr>
      </w:pPr>
    </w:p>
    <w:p>
      <w:pPr>
        <w:ind w:right="140"/>
        <w:spacing w:after="0" w:line="283" w:lineRule="auto"/>
        <w:rPr>
          <w:sz w:val="20"/>
          <w:szCs w:val="20"/>
          <w:color w:val="auto"/>
        </w:rPr>
      </w:pPr>
      <w:r>
        <w:rPr>
          <w:rFonts w:ascii="Arial" w:cs="Arial" w:eastAsia="Arial" w:hAnsi="Arial"/>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3"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Additionally, we continue to actively monitor macroeconomic conditions and market volatility resulting from global and national economic developments, political unrest, new or increased international tariffs and retaliatory tariffs, high inflation, disruptions in capital markets, changes in international trade relationships, changes in U.S. governmental agencies, new laws and regulations or amendments to existing laws and regulations in the U.S. and foreign countries, and military conflicts. While we believe such factors have had no significant impact on our business or financial results during the periods presented, future developments and potential impacts on our business are uncertain and cannot be predicted with confidence.</w:t>
      </w:r>
    </w:p>
    <w:p>
      <w:pPr>
        <w:spacing w:after="0" w:line="182" w:lineRule="exact"/>
        <w:rPr>
          <w:sz w:val="20"/>
          <w:szCs w:val="20"/>
          <w:color w:val="auto"/>
        </w:rPr>
      </w:pPr>
    </w:p>
    <w:p>
      <w:pPr>
        <w:ind w:right="100"/>
        <w:spacing w:after="0" w:line="295" w:lineRule="auto"/>
        <w:rPr>
          <w:sz w:val="20"/>
          <w:szCs w:val="20"/>
          <w:color w:val="auto"/>
        </w:rPr>
      </w:pPr>
      <w:r>
        <w:rPr>
          <w:rFonts w:ascii="Arial" w:cs="Arial" w:eastAsia="Arial" w:hAnsi="Arial"/>
          <w:sz w:val="19"/>
          <w:szCs w:val="19"/>
          <w:color w:val="auto"/>
        </w:rPr>
        <w:t>As of December 31, 2025, we had cash, cash equivalents and investments of $128.7 million, which we believe will enable us to fund our operating expenses and capital expenditure requirements into the second half of 2028. We have based this estimate on assumptions that may prove to be wrong, and we could exhaust our available capital resources sooner than we expect. See “—</w:t>
      </w:r>
      <w:r>
        <w:rPr>
          <w:rFonts w:ascii="Arial" w:cs="Arial" w:eastAsia="Arial" w:hAnsi="Arial"/>
          <w:sz w:val="19"/>
          <w:szCs w:val="19"/>
          <w:b w:val="1"/>
          <w:bCs w:val="1"/>
          <w:i w:val="1"/>
          <w:iCs w:val="1"/>
          <w:color w:val="auto"/>
        </w:rPr>
        <w:t>Liquidity and capital resources</w:t>
      </w:r>
      <w:r>
        <w:rPr>
          <w:rFonts w:ascii="Arial" w:cs="Arial" w:eastAsia="Arial" w:hAnsi="Arial"/>
          <w:sz w:val="19"/>
          <w:szCs w:val="19"/>
          <w:color w:val="auto"/>
        </w:rPr>
        <w:t>.” To finance our operations beyond that point, we will need to raise additional capital, which cannot be assured. If we are unable to raise additional capital in sufficient amounts or on terms acceptable to us, we may have to significantly delay, scale back or discontinue the development or commercialization of our product candidates or other research and development initiatives.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our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w:t>
      </w:r>
    </w:p>
    <w:p>
      <w:pPr>
        <w:spacing w:after="0" w:line="250" w:lineRule="exact"/>
        <w:rPr>
          <w:sz w:val="20"/>
          <w:szCs w:val="20"/>
          <w:color w:val="auto"/>
        </w:rPr>
      </w:pPr>
    </w:p>
    <w:p>
      <w:pPr>
        <w:ind w:right="60"/>
        <w:spacing w:after="0" w:line="280" w:lineRule="auto"/>
        <w:rPr>
          <w:sz w:val="20"/>
          <w:szCs w:val="20"/>
          <w:color w:val="auto"/>
        </w:rPr>
      </w:pPr>
      <w:r>
        <w:rPr>
          <w:rFonts w:ascii="Arial" w:cs="Arial" w:eastAsia="Arial" w:hAnsi="Arial"/>
          <w:sz w:val="20"/>
          <w:szCs w:val="20"/>
          <w:color w:val="auto"/>
        </w:rPr>
        <w:t>To date, we have not generated any product revenue and do not expect to generate any revenue from the sale of products for the foreseeable future. To date, we have generated revenue solely from licensing of intellectual property. If our development efforts for our product candidates are successful and result in regulatory approval, or if we enter into collaboration or license agreements with third parties, we may generate revenue in the future from a combination of product sales or payments from such collaboration or license agreements. However, there can be no assurance as to when we will generate such revenue, if at all.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expenses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10240"/>
          </w:cols>
          <w:pgMar w:left="820" w:top="678" w:right="820" w:bottom="0" w:gutter="0" w:footer="0" w:header="0"/>
          <w:type w:val="continuous"/>
        </w:sectPr>
      </w:pPr>
    </w:p>
    <w:bookmarkStart w:id="125" w:name="page126"/>
    <w:bookmarkEnd w:id="125"/>
    <w:p>
      <w:pPr>
        <w:jc w:val="both"/>
        <w:ind w:right="500"/>
        <w:spacing w:after="0" w:line="348" w:lineRule="auto"/>
        <w:rPr>
          <w:sz w:val="20"/>
          <w:szCs w:val="20"/>
          <w:color w:val="auto"/>
        </w:rPr>
      </w:pPr>
      <w:r>
        <w:rPr>
          <w:rFonts w:ascii="Arial" w:cs="Arial" w:eastAsia="Arial" w:hAnsi="Arial"/>
          <w:sz w:val="19"/>
          <w:szCs w:val="19"/>
          <w:color w:val="auto"/>
        </w:rPr>
        <w:t>Research and development expenses consist primarily of costs incurred for our research activities, including the development of our product candidates. We expense research and development costs as incurred, which include:</w:t>
      </w:r>
    </w:p>
    <w:p>
      <w:pPr>
        <w:spacing w:after="0" w:line="1" w:lineRule="exact"/>
        <w:rPr>
          <w:sz w:val="20"/>
          <w:szCs w:val="20"/>
          <w:color w:val="auto"/>
        </w:rPr>
      </w:pPr>
    </w:p>
    <w:p>
      <w:pPr>
        <w:ind w:left="720" w:right="80" w:hanging="363"/>
        <w:spacing w:after="0" w:line="271" w:lineRule="auto"/>
        <w:tabs>
          <w:tab w:leader="none" w:pos="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expenses incurred to conduct the necessary preclinical studies and clinical trials required to obtain regulatory approval;</w:t>
      </w:r>
    </w:p>
    <w:p>
      <w:pPr>
        <w:spacing w:after="0" w:line="63" w:lineRule="exact"/>
        <w:rPr>
          <w:rFonts w:ascii="Arial" w:cs="Arial" w:eastAsia="Arial" w:hAnsi="Arial"/>
          <w:sz w:val="22"/>
          <w:szCs w:val="22"/>
          <w:color w:val="auto"/>
        </w:rPr>
      </w:pPr>
    </w:p>
    <w:p>
      <w:pPr>
        <w:ind w:left="720" w:right="140" w:hanging="363"/>
        <w:spacing w:after="0" w:line="306" w:lineRule="auto"/>
        <w:tabs>
          <w:tab w:leader="none" w:pos="7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expenses incurred under agreements with contract research organizations (CROs) that are primarily engaged in the oversight and conduct of our drug discovery efforts, preclinical studies, and clinical trials as well as under agreements with contract manufacturing organizations (CMOs) that are primarily engaged to provide preclinical and clinical drug substance and product for our research and development programs;</w:t>
      </w:r>
    </w:p>
    <w:p>
      <w:pPr>
        <w:spacing w:after="0" w:line="38" w:lineRule="exact"/>
        <w:rPr>
          <w:rFonts w:ascii="Arial" w:cs="Arial" w:eastAsia="Arial" w:hAnsi="Arial"/>
          <w:sz w:val="19"/>
          <w:szCs w:val="19"/>
          <w:color w:val="auto"/>
        </w:rPr>
      </w:pPr>
    </w:p>
    <w:p>
      <w:pPr>
        <w:ind w:left="720" w:right="380" w:hanging="363"/>
        <w:spacing w:after="0" w:line="296"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other costs related to the conduct of preclinical studies, and clinical trials, including acquiring and manufacturing materials, manufacturing validation batches, fees to investigative sites and consultants that conduct our clinical trials, preclinical studies and other scientific development support services;</w:t>
      </w:r>
    </w:p>
    <w:p>
      <w:pPr>
        <w:spacing w:after="0" w:line="42" w:lineRule="exact"/>
        <w:rPr>
          <w:rFonts w:ascii="Arial" w:cs="Arial" w:eastAsia="Arial" w:hAnsi="Arial"/>
          <w:sz w:val="20"/>
          <w:szCs w:val="20"/>
          <w:color w:val="auto"/>
        </w:rPr>
      </w:pPr>
    </w:p>
    <w:p>
      <w:pPr>
        <w:ind w:left="720" w:hanging="363"/>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payments made in cash or equity securities under third-party licensing, acquisition and option agreements;</w:t>
      </w:r>
    </w:p>
    <w:p>
      <w:pPr>
        <w:spacing w:after="0" w:line="146" w:lineRule="exact"/>
        <w:rPr>
          <w:rFonts w:ascii="Arial" w:cs="Arial" w:eastAsia="Arial" w:hAnsi="Arial"/>
          <w:sz w:val="20"/>
          <w:szCs w:val="20"/>
          <w:color w:val="auto"/>
        </w:rPr>
      </w:pPr>
    </w:p>
    <w:p>
      <w:pPr>
        <w:ind w:left="720" w:right="100" w:hanging="363"/>
        <w:spacing w:after="0" w:line="271" w:lineRule="auto"/>
        <w:tabs>
          <w:tab w:leader="none" w:pos="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employee-related expenses, including salaries and benefits, travel and stock-based compensation expense for employees engaged in research and development functions;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costs related to compliance with regulatory requirements; and</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allocated facilities-related costs, depreciation and other expenses, which include rent and utilities.</w:t>
      </w: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Any nonrefundable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Our direct research and development expenses also include fees incurred under license, acquisition and option agreements. 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primarily to conduct our research as well as for managing our preclinical development, process development, manufacturing and clinical development activities. These employees work across multiple programs and, therefore, we do not track their costs by program.</w:t>
      </w:r>
    </w:p>
    <w:p>
      <w:pPr>
        <w:spacing w:after="0" w:line="183"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clinical development of silevertinib. In addition, we may incur additional expenses related to milestone and royalty payments payable to third parties with whom we may enter into license, acquisition and option agreements to acquire the rights to future product candidates.</w:t>
      </w:r>
    </w:p>
    <w:p>
      <w:pPr>
        <w:spacing w:after="0" w:line="209" w:lineRule="exact"/>
        <w:rPr>
          <w:sz w:val="20"/>
          <w:szCs w:val="20"/>
          <w:color w:val="auto"/>
        </w:rPr>
      </w:pPr>
    </w:p>
    <w:p>
      <w:pPr>
        <w:ind w:right="40"/>
        <w:spacing w:after="0" w:line="301" w:lineRule="auto"/>
        <w:rPr>
          <w:sz w:val="20"/>
          <w:szCs w:val="20"/>
          <w:color w:val="auto"/>
        </w:rPr>
      </w:pPr>
      <w:r>
        <w:rPr>
          <w:rFonts w:ascii="Arial" w:cs="Arial" w:eastAsia="Arial" w:hAnsi="Arial"/>
          <w:sz w:val="19"/>
          <w:szCs w:val="19"/>
          <w:color w:val="auto"/>
        </w:rPr>
        <w:t>At this time, we cannot reasonably estimate or know the nature, timing and costs of the efforts that will be necessary to complete the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41" w:lineRule="exact"/>
        <w:rPr>
          <w:sz w:val="20"/>
          <w:szCs w:val="20"/>
          <w:color w:val="auto"/>
        </w:rPr>
      </w:pPr>
    </w:p>
    <w:p>
      <w:pPr>
        <w:ind w:left="720" w:hanging="363"/>
        <w:spacing w:after="0"/>
        <w:tabs>
          <w:tab w:leader="none" w:pos="7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scope, progress, outcome and costs of our clinical trials and other development activities;</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10200"/>
          </w:cols>
          <w:pgMar w:left="820" w:top="678" w:right="860" w:bottom="0" w:gutter="0" w:footer="0" w:header="0"/>
          <w:type w:val="continuous"/>
        </w:sectPr>
      </w:pPr>
    </w:p>
    <w:bookmarkStart w:id="126" w:name="page127"/>
    <w:bookmarkEnd w:id="126"/>
    <w:p>
      <w:pPr>
        <w:ind w:left="720" w:hanging="363"/>
        <w:spacing w:after="0"/>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successful patient enrollment in and the initiation and completion of clinical trials;</w:t>
      </w:r>
    </w:p>
    <w:p>
      <w:pPr>
        <w:spacing w:after="0" w:line="123" w:lineRule="exact"/>
        <w:rPr>
          <w:rFonts w:ascii="Arial" w:cs="Arial" w:eastAsia="Arial" w:hAnsi="Arial"/>
          <w:sz w:val="22"/>
          <w:szCs w:val="22"/>
          <w:color w:val="auto"/>
        </w:rPr>
      </w:pPr>
    </w:p>
    <w:p>
      <w:pPr>
        <w:ind w:left="720" w:right="140" w:hanging="363"/>
        <w:spacing w:after="0" w:line="271" w:lineRule="auto"/>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timing, receipt and terms of any marketing approvals from applicable regulatory authorities including the FDA and non-U.S. regulators;</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extent of any required post-marketing approval commitments to applicable regulatory authorities;</w:t>
      </w:r>
    </w:p>
    <w:p>
      <w:pPr>
        <w:spacing w:after="0" w:line="146" w:lineRule="exact"/>
        <w:rPr>
          <w:rFonts w:ascii="Arial" w:cs="Arial" w:eastAsia="Arial" w:hAnsi="Arial"/>
          <w:sz w:val="20"/>
          <w:szCs w:val="20"/>
          <w:color w:val="auto"/>
        </w:rPr>
      </w:pPr>
    </w:p>
    <w:p>
      <w:pPr>
        <w:ind w:left="720" w:right="460" w:hanging="363"/>
        <w:spacing w:after="0" w:line="258" w:lineRule="auto"/>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establishing clinical and commercial manufacturing capabilities or making arrangements with third-party manufacturers in order to ensure that we or our third-party manufacturers are able to make product successfully;</w:t>
      </w:r>
    </w:p>
    <w:p>
      <w:pPr>
        <w:spacing w:after="0" w:line="77" w:lineRule="exact"/>
        <w:rPr>
          <w:rFonts w:ascii="Arial" w:cs="Arial" w:eastAsia="Arial" w:hAnsi="Arial"/>
          <w:sz w:val="22"/>
          <w:szCs w:val="22"/>
          <w:color w:val="auto"/>
        </w:rPr>
      </w:pPr>
    </w:p>
    <w:p>
      <w:pPr>
        <w:ind w:left="720" w:right="180" w:hanging="363"/>
        <w:spacing w:after="0" w:line="271" w:lineRule="auto"/>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development and timely delivery of clinical-grade and commercial-grade drug formulations that can be used in our clinical trials and for commercial launch;</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obtaining, maintaining, defending and enforcing patent claims and other intellectual property rights;</w:t>
      </w:r>
    </w:p>
    <w:p>
      <w:pPr>
        <w:spacing w:after="0" w:line="146" w:lineRule="exact"/>
        <w:rPr>
          <w:rFonts w:ascii="Arial" w:cs="Arial" w:eastAsia="Arial" w:hAnsi="Arial"/>
          <w:sz w:val="20"/>
          <w:szCs w:val="20"/>
          <w:color w:val="auto"/>
        </w:rPr>
      </w:pPr>
    </w:p>
    <w:p>
      <w:pPr>
        <w:ind w:left="720" w:hanging="363"/>
        <w:spacing w:after="0"/>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significant and changing government regulation;</w:t>
      </w:r>
    </w:p>
    <w:p>
      <w:pPr>
        <w:spacing w:after="0" w:line="123" w:lineRule="exact"/>
        <w:rPr>
          <w:rFonts w:ascii="Arial" w:cs="Arial" w:eastAsia="Arial" w:hAnsi="Arial"/>
          <w:sz w:val="22"/>
          <w:szCs w:val="22"/>
          <w:color w:val="auto"/>
        </w:rPr>
      </w:pPr>
    </w:p>
    <w:p>
      <w:pPr>
        <w:ind w:left="720" w:right="1120" w:hanging="363"/>
        <w:spacing w:after="0" w:line="271" w:lineRule="auto"/>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launching commercial sales of our product candidates, if and when approved, whether alone or in collaboration with others; and</w:t>
      </w:r>
    </w:p>
    <w:p>
      <w:pPr>
        <w:spacing w:after="0" w:line="63" w:lineRule="exact"/>
        <w:rPr>
          <w:rFonts w:ascii="Arial" w:cs="Arial" w:eastAsia="Arial" w:hAnsi="Arial"/>
          <w:sz w:val="22"/>
          <w:szCs w:val="22"/>
          <w:color w:val="auto"/>
        </w:rPr>
      </w:pPr>
    </w:p>
    <w:p>
      <w:pPr>
        <w:ind w:left="720" w:hanging="363"/>
        <w:spacing w:after="0" w:line="271" w:lineRule="auto"/>
        <w:tabs>
          <w:tab w:leader="none" w:pos="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maintaining a continued acceptable tolerability profile of our product candidates following approval, if any, of our product candidates.</w:t>
      </w:r>
    </w:p>
    <w:p>
      <w:pPr>
        <w:spacing w:after="0" w:line="181"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Any changes in the outcome of any of these variables with respect to the development of our product candidates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and administrative expenses</w:t>
      </w:r>
    </w:p>
    <w:p>
      <w:pPr>
        <w:spacing w:after="0" w:line="245"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General and administrative expenses consist primarily of salaries and benefits, travel and stock-based compensation expense for personnel in executive, business development, finance, human resources, legal, information technology, pre-commercial and support personnel functions. General and administrative expenses also include direct and allocated facility-related costs as well as insurance costs and professional fees for legal, patent, consulting, investor and public relations, accounting and audit services.</w:t>
      </w:r>
    </w:p>
    <w:p>
      <w:pPr>
        <w:spacing w:after="0" w:line="173" w:lineRule="exact"/>
        <w:rPr>
          <w:sz w:val="20"/>
          <w:szCs w:val="20"/>
          <w:color w:val="auto"/>
        </w:rPr>
      </w:pPr>
    </w:p>
    <w:p>
      <w:pPr>
        <w:ind w:left="40" w:right="100"/>
        <w:spacing w:after="0" w:line="251" w:lineRule="auto"/>
        <w:rPr>
          <w:sz w:val="20"/>
          <w:szCs w:val="20"/>
          <w:color w:val="auto"/>
        </w:rPr>
      </w:pPr>
      <w:r>
        <w:rPr>
          <w:rFonts w:ascii="Arial" w:cs="Arial" w:eastAsia="Arial" w:hAnsi="Arial"/>
          <w:sz w:val="22"/>
          <w:szCs w:val="22"/>
          <w:color w:val="auto"/>
        </w:rPr>
        <w:t>We anticipate that our general and administrative expenses will increase in the future as we support continued development of our product candidates and prepare for potential commercialization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Impairment of right-of-use assets and property and equipment</w:t>
      </w:r>
    </w:p>
    <w:p>
      <w:pPr>
        <w:spacing w:after="0" w:line="245" w:lineRule="exact"/>
        <w:rPr>
          <w:sz w:val="20"/>
          <w:szCs w:val="20"/>
          <w:color w:val="auto"/>
        </w:rPr>
      </w:pPr>
    </w:p>
    <w:p>
      <w:pPr>
        <w:ind w:left="40" w:right="160"/>
        <w:spacing w:after="0" w:line="271" w:lineRule="auto"/>
        <w:rPr>
          <w:sz w:val="20"/>
          <w:szCs w:val="20"/>
          <w:color w:val="auto"/>
        </w:rPr>
      </w:pPr>
      <w:r>
        <w:rPr>
          <w:rFonts w:ascii="Arial" w:cs="Arial" w:eastAsia="Arial" w:hAnsi="Arial"/>
          <w:sz w:val="22"/>
          <w:szCs w:val="22"/>
          <w:color w:val="auto"/>
        </w:rPr>
        <w:t>Impairment of right-of-use assets and property and equipment expenses consists of impairment losses relating to our operating leases.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w:t>
      </w:r>
    </w:p>
    <w:p>
      <w:pPr>
        <w:spacing w:after="0" w:line="250" w:lineRule="exact"/>
        <w:rPr>
          <w:sz w:val="20"/>
          <w:szCs w:val="20"/>
          <w:color w:val="auto"/>
        </w:rPr>
      </w:pPr>
    </w:p>
    <w:p>
      <w:pPr>
        <w:ind w:left="40" w:right="840"/>
        <w:spacing w:after="0" w:line="351" w:lineRule="auto"/>
        <w:rPr>
          <w:sz w:val="20"/>
          <w:szCs w:val="20"/>
          <w:color w:val="auto"/>
        </w:rPr>
      </w:pPr>
      <w:r>
        <w:rPr>
          <w:rFonts w:ascii="Arial" w:cs="Arial" w:eastAsia="Arial" w:hAnsi="Arial"/>
          <w:sz w:val="19"/>
          <w:szCs w:val="19"/>
          <w:color w:val="auto"/>
        </w:rPr>
        <w:t>Other income (expense) consists primarily of interest income earned on our cash equivalents and investment balances, sublease income, and realized and unrealized foreign currency transaction gains and losses.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10240"/>
          </w:cols>
          <w:pgMar w:left="820" w:top="678" w:right="820" w:bottom="0" w:gutter="0" w:footer="0" w:header="0"/>
          <w:type w:val="continuous"/>
        </w:sectPr>
      </w:pPr>
    </w:p>
    <w:bookmarkStart w:id="127" w:name="page128"/>
    <w:bookmarkEnd w:id="127"/>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Comparison of the years ended December 31, 2025 and 2024</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results of operations for the years ended December 31, 2025 and 2024:</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92"/>
        </w:trPr>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5"/>
              </w:rPr>
              <w:t>Year Ended December 31,</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9"/>
        </w:trPr>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0"/>
              </w:rPr>
              <w:t>Change</w:t>
            </w:r>
          </w:p>
        </w:tc>
      </w:tr>
      <w:tr>
        <w:trPr>
          <w:trHeight w:val="287"/>
        </w:trPr>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22"/>
                <w:szCs w:val="22"/>
                <w:color w:val="auto"/>
                <w:w w:val="93"/>
              </w:rPr>
              <w:t>(in thousands)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4"/>
        </w:trPr>
        <w:tc>
          <w:tcPr>
            <w:tcW w:w="6220" w:type="dxa"/>
            <w:vAlign w:val="bottom"/>
          </w:tcPr>
          <w:p>
            <w:pPr>
              <w:spacing w:after="0"/>
              <w:rPr>
                <w:sz w:val="20"/>
                <w:szCs w:val="20"/>
                <w:color w:val="auto"/>
              </w:rPr>
            </w:pPr>
            <w:r>
              <w:rPr>
                <w:rFonts w:ascii="Arial" w:cs="Arial" w:eastAsia="Arial" w:hAnsi="Arial"/>
                <w:sz w:val="22"/>
                <w:szCs w:val="22"/>
                <w:color w:val="auto"/>
              </w:rPr>
              <w:t>License revenue</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70,000</w:t>
            </w:r>
          </w:p>
        </w:tc>
        <w:tc>
          <w:tcPr>
            <w:tcW w:w="36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70,000</w:t>
            </w:r>
          </w:p>
        </w:tc>
      </w:tr>
      <w:tr>
        <w:trPr>
          <w:trHeight w:val="304"/>
        </w:trPr>
        <w:tc>
          <w:tcPr>
            <w:tcW w:w="6220" w:type="dxa"/>
            <w:vAlign w:val="bottom"/>
          </w:tcPr>
          <w:p>
            <w:pPr>
              <w:spacing w:after="0"/>
              <w:rPr>
                <w:sz w:val="20"/>
                <w:szCs w:val="20"/>
                <w:color w:val="auto"/>
              </w:rPr>
            </w:pPr>
            <w:r>
              <w:rPr>
                <w:rFonts w:ascii="Arial" w:cs="Arial" w:eastAsia="Arial" w:hAnsi="Arial"/>
                <w:sz w:val="22"/>
                <w:szCs w:val="22"/>
                <w:color w:val="auto"/>
              </w:rPr>
              <w:t>Operating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4"/>
        </w:trPr>
        <w:tc>
          <w:tcPr>
            <w:tcW w:w="6220" w:type="dxa"/>
            <w:vAlign w:val="bottom"/>
          </w:tcPr>
          <w:p>
            <w:pPr>
              <w:ind w:left="240"/>
              <w:spacing w:after="0"/>
              <w:rPr>
                <w:sz w:val="20"/>
                <w:szCs w:val="20"/>
                <w:color w:val="auto"/>
              </w:rPr>
            </w:pPr>
            <w:r>
              <w:rPr>
                <w:rFonts w:ascii="Arial" w:cs="Arial" w:eastAsia="Arial" w:hAnsi="Arial"/>
                <w:sz w:val="22"/>
                <w:szCs w:val="22"/>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33,558</w:t>
            </w:r>
          </w:p>
        </w:tc>
        <w:tc>
          <w:tcPr>
            <w:tcW w:w="36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51,312</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(17,754)</w:t>
            </w:r>
          </w:p>
        </w:tc>
      </w:tr>
      <w:tr>
        <w:trPr>
          <w:trHeight w:val="309"/>
        </w:trPr>
        <w:tc>
          <w:tcPr>
            <w:tcW w:w="6220" w:type="dxa"/>
            <w:vAlign w:val="bottom"/>
          </w:tcPr>
          <w:p>
            <w:pPr>
              <w:ind w:left="240"/>
              <w:spacing w:after="0"/>
              <w:rPr>
                <w:sz w:val="20"/>
                <w:szCs w:val="20"/>
                <w:color w:val="auto"/>
              </w:rPr>
            </w:pPr>
            <w:r>
              <w:rPr>
                <w:rFonts w:ascii="Arial" w:cs="Arial" w:eastAsia="Arial" w:hAnsi="Arial"/>
                <w:sz w:val="22"/>
                <w:szCs w:val="22"/>
                <w:color w:val="auto"/>
              </w:rPr>
              <w:t>General and administrative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16,572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27,469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(10,897)</w:t>
            </w:r>
          </w:p>
        </w:tc>
      </w:tr>
      <w:tr>
        <w:trPr>
          <w:trHeight w:val="316"/>
        </w:trPr>
        <w:tc>
          <w:tcPr>
            <w:tcW w:w="6220" w:type="dxa"/>
            <w:vAlign w:val="bottom"/>
          </w:tcPr>
          <w:p>
            <w:pPr>
              <w:ind w:left="240"/>
              <w:spacing w:after="0"/>
              <w:rPr>
                <w:sz w:val="20"/>
                <w:szCs w:val="20"/>
                <w:color w:val="auto"/>
              </w:rPr>
            </w:pPr>
            <w:r>
              <w:rPr>
                <w:rFonts w:ascii="Arial" w:cs="Arial" w:eastAsia="Arial" w:hAnsi="Arial"/>
                <w:sz w:val="22"/>
                <w:szCs w:val="22"/>
                <w:color w:val="auto"/>
                <w:w w:val="98"/>
              </w:rPr>
              <w:t>Impairment of right-of-use assets and property and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7,348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7,348</w:t>
            </w:r>
          </w:p>
        </w:tc>
      </w:tr>
      <w:tr>
        <w:trPr>
          <w:trHeight w:val="289"/>
        </w:trPr>
        <w:tc>
          <w:tcPr>
            <w:tcW w:w="6220" w:type="dxa"/>
            <w:vAlign w:val="bottom"/>
          </w:tcPr>
          <w:p>
            <w:pPr>
              <w:spacing w:after="0"/>
              <w:rPr>
                <w:sz w:val="20"/>
                <w:szCs w:val="20"/>
                <w:color w:val="auto"/>
              </w:rPr>
            </w:pPr>
            <w:r>
              <w:rPr>
                <w:rFonts w:ascii="Arial" w:cs="Arial" w:eastAsia="Arial" w:hAnsi="Arial"/>
                <w:sz w:val="22"/>
                <w:szCs w:val="22"/>
                <w:color w:val="auto"/>
              </w:rPr>
              <w:t>Total operating expenses</w:t>
            </w:r>
          </w:p>
        </w:tc>
        <w:tc>
          <w:tcPr>
            <w:tcW w:w="1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57,478</w:t>
            </w:r>
          </w:p>
        </w:tc>
        <w:tc>
          <w:tcPr>
            <w:tcW w:w="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78,781</w:t>
            </w:r>
          </w:p>
        </w:tc>
        <w:tc>
          <w:tcPr>
            <w:tcW w:w="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(21,303)</w:t>
            </w:r>
          </w:p>
        </w:tc>
      </w:tr>
      <w:tr>
        <w:trPr>
          <w:trHeight w:val="282"/>
        </w:trPr>
        <w:tc>
          <w:tcPr>
            <w:tcW w:w="6220" w:type="dxa"/>
            <w:vAlign w:val="bottom"/>
          </w:tcPr>
          <w:p>
            <w:pPr>
              <w:ind w:left="240"/>
              <w:spacing w:after="0"/>
              <w:rPr>
                <w:sz w:val="20"/>
                <w:szCs w:val="20"/>
                <w:color w:val="auto"/>
              </w:rPr>
            </w:pPr>
            <w:r>
              <w:rPr>
                <w:rFonts w:ascii="Arial" w:cs="Arial" w:eastAsia="Arial" w:hAnsi="Arial"/>
                <w:sz w:val="22"/>
                <w:szCs w:val="22"/>
                <w:color w:val="auto"/>
              </w:rPr>
              <w:t>Income (loss) from operations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12,522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(78,781)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91,303</w:t>
            </w:r>
          </w:p>
        </w:tc>
      </w:tr>
      <w:tr>
        <w:trPr>
          <w:trHeight w:val="304"/>
        </w:trPr>
        <w:tc>
          <w:tcPr>
            <w:tcW w:w="6220" w:type="dxa"/>
            <w:vAlign w:val="bottom"/>
          </w:tcPr>
          <w:p>
            <w:pPr>
              <w:spacing w:after="0"/>
              <w:rPr>
                <w:sz w:val="20"/>
                <w:szCs w:val="20"/>
                <w:color w:val="auto"/>
              </w:rPr>
            </w:pPr>
            <w:r>
              <w:rPr>
                <w:rFonts w:ascii="Arial" w:cs="Arial" w:eastAsia="Arial" w:hAnsi="Arial"/>
                <w:sz w:val="22"/>
                <w:szCs w:val="22"/>
                <w:color w:val="auto"/>
              </w:rPr>
              <w:t>Other income (expense):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4"/>
        </w:trPr>
        <w:tc>
          <w:tcPr>
            <w:tcW w:w="6220" w:type="dxa"/>
            <w:vAlign w:val="bottom"/>
          </w:tcPr>
          <w:p>
            <w:pPr>
              <w:ind w:left="240"/>
              <w:spacing w:after="0"/>
              <w:rPr>
                <w:sz w:val="20"/>
                <w:szCs w:val="20"/>
                <w:color w:val="auto"/>
              </w:rPr>
            </w:pPr>
            <w:r>
              <w:rPr>
                <w:rFonts w:ascii="Arial" w:cs="Arial" w:eastAsia="Arial" w:hAnsi="Arial"/>
                <w:sz w:val="22"/>
                <w:szCs w:val="22"/>
                <w:color w:val="auto"/>
              </w:rPr>
              <w:t>Interest income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4,061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2,182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1,879</w:t>
            </w:r>
          </w:p>
        </w:tc>
      </w:tr>
      <w:tr>
        <w:trPr>
          <w:trHeight w:val="316"/>
        </w:trPr>
        <w:tc>
          <w:tcPr>
            <w:tcW w:w="6220" w:type="dxa"/>
            <w:vAlign w:val="bottom"/>
          </w:tcPr>
          <w:p>
            <w:pPr>
              <w:ind w:left="240"/>
              <w:spacing w:after="0"/>
              <w:rPr>
                <w:sz w:val="20"/>
                <w:szCs w:val="20"/>
                <w:color w:val="auto"/>
              </w:rPr>
            </w:pPr>
            <w:r>
              <w:rPr>
                <w:rFonts w:ascii="Arial" w:cs="Arial" w:eastAsia="Arial" w:hAnsi="Arial"/>
                <w:sz w:val="22"/>
                <w:szCs w:val="22"/>
                <w:color w:val="auto"/>
              </w:rPr>
              <w:t>Other income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5,784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6,923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(1,139)</w:t>
            </w:r>
          </w:p>
        </w:tc>
      </w:tr>
      <w:tr>
        <w:trPr>
          <w:trHeight w:val="289"/>
        </w:trPr>
        <w:tc>
          <w:tcPr>
            <w:tcW w:w="6220" w:type="dxa"/>
            <w:vAlign w:val="bottom"/>
          </w:tcPr>
          <w:p>
            <w:pPr>
              <w:spacing w:after="0"/>
              <w:rPr>
                <w:sz w:val="20"/>
                <w:szCs w:val="20"/>
                <w:color w:val="auto"/>
              </w:rPr>
            </w:pPr>
            <w:r>
              <w:rPr>
                <w:rFonts w:ascii="Arial" w:cs="Arial" w:eastAsia="Arial" w:hAnsi="Arial"/>
                <w:sz w:val="22"/>
                <w:szCs w:val="22"/>
                <w:color w:val="auto"/>
              </w:rPr>
              <w:t>Total other income (expense), net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9,845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740</w:t>
            </w:r>
          </w:p>
        </w:tc>
      </w:tr>
      <w:tr>
        <w:trPr>
          <w:trHeight w:val="269"/>
        </w:trPr>
        <w:tc>
          <w:tcPr>
            <w:tcW w:w="6220" w:type="dxa"/>
            <w:vAlign w:val="bottom"/>
          </w:tcPr>
          <w:p>
            <w:pPr>
              <w:spacing w:after="0"/>
              <w:rPr>
                <w:sz w:val="20"/>
                <w:szCs w:val="20"/>
                <w:color w:val="auto"/>
              </w:rPr>
            </w:pPr>
            <w:r>
              <w:rPr>
                <w:rFonts w:ascii="Arial" w:cs="Arial" w:eastAsia="Arial" w:hAnsi="Arial"/>
                <w:sz w:val="22"/>
                <w:szCs w:val="22"/>
                <w:color w:val="auto"/>
              </w:rPr>
              <w:t>Net income (loss)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22,367</w:t>
            </w:r>
          </w:p>
        </w:tc>
        <w:tc>
          <w:tcPr>
            <w:tcW w:w="36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(69,676)</w:t>
            </w:r>
          </w:p>
        </w:tc>
        <w:tc>
          <w:tcPr>
            <w:tcW w:w="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92,043</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-2383155</wp:posOffset>
            </wp:positionV>
            <wp:extent cx="6522085" cy="2390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522085" cy="23901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245" w:lineRule="exact"/>
        <w:rPr>
          <w:sz w:val="20"/>
          <w:szCs w:val="20"/>
          <w:color w:val="auto"/>
        </w:rPr>
      </w:pPr>
    </w:p>
    <w:p>
      <w:pPr>
        <w:ind w:right="320"/>
        <w:spacing w:after="0" w:line="258" w:lineRule="auto"/>
        <w:rPr>
          <w:sz w:val="20"/>
          <w:szCs w:val="20"/>
          <w:color w:val="auto"/>
        </w:rPr>
      </w:pPr>
      <w:r>
        <w:rPr>
          <w:rFonts w:ascii="Arial" w:cs="Arial" w:eastAsia="Arial" w:hAnsi="Arial"/>
          <w:sz w:val="22"/>
          <w:szCs w:val="22"/>
          <w:color w:val="auto"/>
        </w:rPr>
        <w:t>Research and development expenses were $33.6 million for the year ended December 31, 2025, compared to $51.3 million for the year ended December 31, 2024. The following table summarizes our research and development expenses for the years ended December 31, 2025 and 2024:</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92"/>
        </w:trPr>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5"/>
              </w:rPr>
              <w:t>Year Ended December 31,</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9"/>
        </w:trPr>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0"/>
              </w:rPr>
              <w:t>Change</w:t>
            </w:r>
          </w:p>
        </w:tc>
      </w:tr>
      <w:tr>
        <w:trPr>
          <w:trHeight w:val="287"/>
        </w:trPr>
        <w:tc>
          <w:tcPr>
            <w:tcW w:w="6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22"/>
                <w:szCs w:val="22"/>
                <w:color w:val="auto"/>
                <w:w w:val="93"/>
              </w:rPr>
              <w:t>(in thousands)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4"/>
        </w:trPr>
        <w:tc>
          <w:tcPr>
            <w:tcW w:w="6220" w:type="dxa"/>
            <w:vAlign w:val="bottom"/>
          </w:tcPr>
          <w:p>
            <w:pPr>
              <w:spacing w:after="0"/>
              <w:rPr>
                <w:sz w:val="20"/>
                <w:szCs w:val="20"/>
                <w:color w:val="auto"/>
              </w:rPr>
            </w:pPr>
            <w:r>
              <w:rPr>
                <w:rFonts w:ascii="Arial" w:cs="Arial" w:eastAsia="Arial" w:hAnsi="Arial"/>
                <w:sz w:val="22"/>
                <w:szCs w:val="22"/>
                <w:color w:val="auto"/>
              </w:rPr>
              <w:t>Silevertinib (NSCLC) research and development expenses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17,469</w:t>
            </w:r>
          </w:p>
        </w:tc>
        <w:tc>
          <w:tcPr>
            <w:tcW w:w="36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24,378</w:t>
            </w: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(6,909)</w:t>
            </w:r>
          </w:p>
        </w:tc>
      </w:tr>
      <w:tr>
        <w:trPr>
          <w:trHeight w:val="309"/>
        </w:trPr>
        <w:tc>
          <w:tcPr>
            <w:tcW w:w="6220" w:type="dxa"/>
            <w:vAlign w:val="bottom"/>
          </w:tcPr>
          <w:p>
            <w:pPr>
              <w:spacing w:after="0"/>
              <w:rPr>
                <w:sz w:val="20"/>
                <w:szCs w:val="20"/>
                <w:color w:val="auto"/>
              </w:rPr>
            </w:pPr>
            <w:r>
              <w:rPr>
                <w:rFonts w:ascii="Arial" w:cs="Arial" w:eastAsia="Arial" w:hAnsi="Arial"/>
                <w:sz w:val="22"/>
                <w:szCs w:val="22"/>
                <w:color w:val="auto"/>
              </w:rPr>
              <w:t>Silevertinib (GBM) research and development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309"/>
        </w:trPr>
        <w:tc>
          <w:tcPr>
            <w:tcW w:w="6220" w:type="dxa"/>
            <w:vAlign w:val="bottom"/>
          </w:tcPr>
          <w:p>
            <w:pPr>
              <w:spacing w:after="0"/>
              <w:rPr>
                <w:sz w:val="20"/>
                <w:szCs w:val="20"/>
                <w:color w:val="auto"/>
              </w:rPr>
            </w:pPr>
            <w:r>
              <w:rPr>
                <w:rFonts w:ascii="Arial" w:cs="Arial" w:eastAsia="Arial" w:hAnsi="Arial"/>
                <w:sz w:val="22"/>
                <w:szCs w:val="22"/>
                <w:color w:val="auto"/>
              </w:rPr>
              <w:t>BDTX-4933 research and development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4,613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(3,595)</w:t>
            </w:r>
          </w:p>
        </w:tc>
      </w:tr>
      <w:tr>
        <w:trPr>
          <w:trHeight w:val="309"/>
        </w:trPr>
        <w:tc>
          <w:tcPr>
            <w:tcW w:w="6220" w:type="dxa"/>
            <w:vAlign w:val="bottom"/>
          </w:tcPr>
          <w:p>
            <w:pPr>
              <w:spacing w:after="0"/>
              <w:rPr>
                <w:sz w:val="20"/>
                <w:szCs w:val="20"/>
                <w:color w:val="auto"/>
              </w:rPr>
            </w:pPr>
            <w:r>
              <w:rPr>
                <w:rFonts w:ascii="Arial" w:cs="Arial" w:eastAsia="Arial" w:hAnsi="Arial"/>
                <w:sz w:val="22"/>
                <w:szCs w:val="22"/>
                <w:color w:val="auto"/>
              </w:rPr>
              <w:t>Other research and development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2,515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(1,015)</w:t>
            </w:r>
          </w:p>
        </w:tc>
      </w:tr>
      <w:tr>
        <w:trPr>
          <w:trHeight w:val="309"/>
        </w:trPr>
        <w:tc>
          <w:tcPr>
            <w:tcW w:w="6220" w:type="dxa"/>
            <w:vAlign w:val="bottom"/>
          </w:tcPr>
          <w:p>
            <w:pPr>
              <w:spacing w:after="0"/>
              <w:rPr>
                <w:sz w:val="20"/>
                <w:szCs w:val="20"/>
                <w:color w:val="auto"/>
              </w:rPr>
            </w:pPr>
            <w:r>
              <w:rPr>
                <w:rFonts w:ascii="Arial" w:cs="Arial" w:eastAsia="Arial" w:hAnsi="Arial"/>
                <w:sz w:val="22"/>
                <w:szCs w:val="22"/>
                <w:color w:val="auto"/>
              </w:rPr>
              <w:t>Personnel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9,397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15,331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(5,934)</w:t>
            </w:r>
          </w:p>
        </w:tc>
      </w:tr>
      <w:tr>
        <w:trPr>
          <w:trHeight w:val="309"/>
        </w:trPr>
        <w:tc>
          <w:tcPr>
            <w:tcW w:w="6220" w:type="dxa"/>
            <w:vAlign w:val="bottom"/>
          </w:tcPr>
          <w:p>
            <w:pPr>
              <w:spacing w:after="0"/>
              <w:rPr>
                <w:sz w:val="20"/>
                <w:szCs w:val="20"/>
                <w:color w:val="auto"/>
              </w:rPr>
            </w:pPr>
            <w:r>
              <w:rPr>
                <w:rFonts w:ascii="Arial" w:cs="Arial" w:eastAsia="Arial" w:hAnsi="Arial"/>
                <w:sz w:val="22"/>
                <w:szCs w:val="22"/>
                <w:color w:val="auto"/>
              </w:rPr>
              <w:t>Allocated facility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3,410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3,499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16"/>
        </w:trPr>
        <w:tc>
          <w:tcPr>
            <w:tcW w:w="6220" w:type="dxa"/>
            <w:vAlign w:val="bottom"/>
          </w:tcPr>
          <w:p>
            <w:pPr>
              <w:spacing w:after="0"/>
              <w:rPr>
                <w:sz w:val="20"/>
                <w:szCs w:val="20"/>
                <w:color w:val="auto"/>
              </w:rPr>
            </w:pPr>
            <w:r>
              <w:rPr>
                <w:rFonts w:ascii="Arial" w:cs="Arial" w:eastAsia="Arial" w:hAnsi="Arial"/>
                <w:sz w:val="22"/>
                <w:szCs w:val="22"/>
                <w:color w:val="auto"/>
              </w:rPr>
              <w:t>Other expenses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w:t>
            </w:r>
          </w:p>
        </w:tc>
      </w:tr>
      <w:tr>
        <w:trPr>
          <w:trHeight w:val="269"/>
        </w:trPr>
        <w:tc>
          <w:tcPr>
            <w:tcW w:w="6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33,558</w:t>
            </w:r>
          </w:p>
        </w:tc>
        <w:tc>
          <w:tcPr>
            <w:tcW w:w="360" w:type="dxa"/>
            <w:vAlign w:val="bottom"/>
            <w:gridSpan w:val="2"/>
          </w:tcPr>
          <w:p>
            <w:pPr>
              <w:ind w:left="120"/>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51,312</w:t>
            </w:r>
          </w:p>
        </w:tc>
        <w:tc>
          <w:tcPr>
            <w:tcW w:w="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(17,754)</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-1598930</wp:posOffset>
            </wp:positionV>
            <wp:extent cx="6522085" cy="1605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522085" cy="1605915"/>
                    </a:xfrm>
                    <a:prstGeom prst="rect">
                      <a:avLst/>
                    </a:prstGeom>
                    <a:noFill/>
                  </pic:spPr>
                </pic:pic>
              </a:graphicData>
            </a:graphic>
          </wp:anchor>
        </w:drawing>
      </w:r>
    </w:p>
    <w:p>
      <w:pPr>
        <w:spacing w:after="0" w:line="217" w:lineRule="exact"/>
        <w:rPr>
          <w:sz w:val="20"/>
          <w:szCs w:val="20"/>
          <w:color w:val="auto"/>
        </w:rPr>
      </w:pPr>
    </w:p>
    <w:p>
      <w:pPr>
        <w:ind w:right="160"/>
        <w:spacing w:after="0" w:line="283" w:lineRule="auto"/>
        <w:rPr>
          <w:sz w:val="20"/>
          <w:szCs w:val="20"/>
          <w:color w:val="auto"/>
        </w:rPr>
      </w:pPr>
      <w:r>
        <w:rPr>
          <w:rFonts w:ascii="Arial" w:cs="Arial" w:eastAsia="Arial" w:hAnsi="Arial"/>
          <w:sz w:val="20"/>
          <w:szCs w:val="20"/>
          <w:color w:val="auto"/>
        </w:rPr>
        <w:t>The decrease of $17.8 million was primarily due to a decrease of $6.9 million related to operational efficiencies gained as we progressed our clinical trial for silevertinib in NSCLC, combined with decreased spend related to BDTX-4933 of $3.6 million as a result of its outlicensing to Servier in the first quarter of 2025, compared to the year ended December 31, 2024. In addition, personnel expenses decreased by $5.9 million as we continue to capitalize on workforce efficiencies and focus on our development program.</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10240"/>
          </w:cols>
          <w:pgMar w:left="820" w:top="670" w:right="82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2"/>
          <w:szCs w:val="22"/>
          <w:b w:val="1"/>
          <w:bCs w:val="1"/>
          <w:i w:val="1"/>
          <w:iCs w:val="1"/>
          <w:color w:val="auto"/>
        </w:rPr>
        <w:t>General and administrative</w:t>
      </w:r>
    </w:p>
    <w:p>
      <w:pPr>
        <w:spacing w:after="0" w:line="245"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General and administrative expenses were $16.6 million for the year ended December 31, 2025, compared to $27.5 million for the year ended December 31, 2024. The decrease of $10.9 million was primarily a result of operational and workforce efficiencies from our corporate restructuring announced in the fourth quarter of 2024.</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w:t>
      </w:r>
    </w:p>
    <w:p>
      <w:pPr>
        <w:spacing w:after="0" w:line="245" w:lineRule="exact"/>
        <w:rPr>
          <w:sz w:val="20"/>
          <w:szCs w:val="20"/>
          <w:color w:val="auto"/>
        </w:rPr>
      </w:pPr>
    </w:p>
    <w:p>
      <w:pPr>
        <w:ind w:right="160"/>
        <w:spacing w:after="0" w:line="254" w:lineRule="auto"/>
        <w:rPr>
          <w:sz w:val="20"/>
          <w:szCs w:val="20"/>
          <w:color w:val="auto"/>
        </w:rPr>
      </w:pPr>
      <w:r>
        <w:rPr>
          <w:rFonts w:ascii="Arial" w:cs="Arial" w:eastAsia="Arial" w:hAnsi="Arial"/>
          <w:sz w:val="22"/>
          <w:szCs w:val="22"/>
          <w:color w:val="auto"/>
        </w:rPr>
        <w:t>Other income was $9.8 million for the year ended December 31, 2025, compared to $9.1 million for the year ended December 31, 2024. The increase of $0.7 million was primarily attributable to an increase in interest income, a decrease in accretion on investments, as well as an increase in sublease income due to signing an additional sublease in 2024.</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of liquidity</w:t>
      </w:r>
    </w:p>
    <w:p>
      <w:pPr>
        <w:spacing w:after="0" w:line="250"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We have funded our operations to date primarily with proceeds from the sale of our common and preferred stock.</w:t>
      </w:r>
    </w:p>
    <w:p>
      <w:pPr>
        <w:spacing w:after="0" w:line="206" w:lineRule="exact"/>
        <w:rPr>
          <w:sz w:val="20"/>
          <w:szCs w:val="20"/>
          <w:color w:val="auto"/>
        </w:rPr>
      </w:pPr>
    </w:p>
    <w:p>
      <w:pPr>
        <w:jc w:val="both"/>
        <w:ind w:right="60"/>
        <w:spacing w:after="0" w:line="280" w:lineRule="auto"/>
        <w:rPr>
          <w:sz w:val="20"/>
          <w:szCs w:val="20"/>
          <w:color w:val="auto"/>
        </w:rPr>
      </w:pPr>
      <w:r>
        <w:rPr>
          <w:rFonts w:ascii="Arial" w:cs="Arial" w:eastAsia="Arial" w:hAnsi="Arial"/>
          <w:sz w:val="20"/>
          <w:szCs w:val="20"/>
          <w:color w:val="auto"/>
        </w:rPr>
        <w:t>On February 3, 2020, we completed an IPO of 12,174,263 shares of our common stock, including the exercise in full by the underwriters of their option to purchase up to 1,587,947 additional shares of our common stock, for aggregate gross proceeds of $231.3 million. We received $212.1 million in net proceeds after deducting underwriting discounts and commissions and other estimated offering expenses payable by us. Through December 31, 2025, we had received net cash proceeds of $200.6 million from previous sales of our preferred stock and as of December 31, 2025, we had cash, cash equivalents and investments of $128.7 million.</w:t>
      </w:r>
    </w:p>
    <w:p>
      <w:pPr>
        <w:spacing w:after="0" w:line="178"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On November 14, 2022, we entered into an Open Market Sale Agreement</w:t>
      </w:r>
      <w:r>
        <w:rPr>
          <w:rFonts w:ascii="Arial" w:cs="Arial" w:eastAsia="Arial" w:hAnsi="Arial"/>
          <w:sz w:val="25"/>
          <w:szCs w:val="25"/>
          <w:color w:val="auto"/>
          <w:vertAlign w:val="superscript"/>
        </w:rPr>
        <w:t>SM</w:t>
      </w:r>
      <w:r>
        <w:rPr>
          <w:rFonts w:ascii="Arial" w:cs="Arial" w:eastAsia="Arial" w:hAnsi="Arial"/>
          <w:sz w:val="19"/>
          <w:szCs w:val="19"/>
          <w:color w:val="auto"/>
        </w:rPr>
        <w:t xml:space="preserve"> (the Sales Agreement) with Jefferies LLC (Jefferies), as sales agent, to provide for the issuance and sale by us of up to $150.0 million of our common stock, or the Shares, from time to time through Jefferies as our sales agent (the ATM Program). Upon delivery of a placement notice and subject to the terms and conditions of the Sales Agreement, Jefferies may sell the Shares by any method permitted by law deemed to be an “at the market offering” as defined in Rule 415(a)(4) promulgated under the Securities Act. We may sell the Shares in amounts and at times to be determined by us from time to time subject to the terms and conditions of the Sales Agreement, but we have no obligation to sell any Shares under the Sales Agreement. We or Jefferies may suspend or terminate the offering of Shares upon notice to the other party and subject to other conditions. As of December 31, 2025, we sold 4,490,853 shares of our common stock pursuant to the ATM Program, resulting in gross proceeds to us of approximately $25.0 million ($24.5 million net of offering costs).</w:t>
      </w:r>
    </w:p>
    <w:p>
      <w:pPr>
        <w:spacing w:after="0" w:line="18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On November 13, 2025, we filed a new shelf registration statement on Form S-3, including a base prospectus and sales agreement prospectus (the New Shelf Registration Statement), with the SEC, which covers the offering, issuance and sale of our common stock, preferred stock, debt securities, warrants and/or units of any combination thereof up to a maximum price of $500.0 million, including up to $150.0 million of shares of our common stock that may be offered, issued and sold under the Sales Agreement. The New Registration Statement was filed to replace our prior shelf registration statement on Form S-3 (the Prior Shelf Registration Statement), originally filed with the SEC on November 14, 2022 and declared effective on November 22, 2022, which was set to expire on November 22, 2025, in accordance with applicable SEC regulations. The New Shelf Registration Statement became effective on December 3, 2025, and in accordance with Rule 415(a)(6) under the Securities Act, the offering of securities under the Prior Shelf Registration Statement is deemed terminated as of the date of effectiveness of the New Shelf Registration Statement. Any Shares will be sold pursuant to the New Shelf Registration Statement and the sales agreement prospectus filed therewith.</w:t>
      </w:r>
    </w:p>
    <w:p>
      <w:pPr>
        <w:sectPr>
          <w:pgSz w:w="11880" w:h="15480" w:orient="portrait"/>
          <w:cols w:equalWidth="0" w:num="1">
            <w:col w:w="10220"/>
          </w:cols>
          <w:pgMar w:left="820" w:top="67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10220"/>
          </w:cols>
          <w:pgMar w:left="820" w:top="674" w:right="840" w:bottom="0" w:gutter="0" w:footer="0" w:header="0"/>
          <w:type w:val="continuous"/>
        </w:sectPr>
      </w:pPr>
    </w:p>
    <w:bookmarkStart w:id="129" w:name="page130"/>
    <w:bookmarkEnd w:id="129"/>
    <w:p>
      <w:pPr>
        <w:spacing w:after="0" w:line="280" w:lineRule="auto"/>
        <w:rPr>
          <w:sz w:val="20"/>
          <w:szCs w:val="20"/>
          <w:color w:val="auto"/>
        </w:rPr>
      </w:pPr>
      <w:r>
        <w:rPr>
          <w:rFonts w:ascii="Arial" w:cs="Arial" w:eastAsia="Arial" w:hAnsi="Arial"/>
          <w:sz w:val="20"/>
          <w:szCs w:val="20"/>
          <w:color w:val="auto"/>
        </w:rPr>
        <w:t>On July 5, 2023, we completed an underwritten public offering (the Follow-on Offering) of 15,000,000 shares of our common stock at a price to the public of $5.00 per share. The aggregate net proceeds from the Follow-on Offering totaled approximately $71.6 million after deducting underwriting discounts and commissions, as well as other offering expenses. The underwriters did not exercise any portion of their 30-day overallotment option to purchase up to an additional 2,250,000 shares of our common stock at the public offering price, which expired on July 29, 2023, and therefore no additional proceeds from the Follow-on Offering were received.</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20"/>
          <w:szCs w:val="20"/>
          <w:color w:val="auto"/>
        </w:rPr>
        <w:t xml:space="preserve">On March 18, 2025, we entered into the Servier Agreement with Servier for BDTX-4933, a small molecule designed to address unmet medical needs in RAF/RAS-mutant solid tumors, pursuant to which we granted to Servier a global license to develop and commercialize BDTX-4933. Under the terms of the Servier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15, </w:t>
      </w:r>
      <w:r>
        <w:rPr>
          <w:rFonts w:ascii="Arial" w:cs="Arial" w:eastAsia="Arial" w:hAnsi="Arial"/>
          <w:sz w:val="20"/>
          <w:szCs w:val="20"/>
          <w:b w:val="1"/>
          <w:bCs w:val="1"/>
          <w:i w:val="1"/>
          <w:iCs w:val="1"/>
          <w:color w:val="auto"/>
        </w:rPr>
        <w:t>License Revenue</w:t>
      </w:r>
      <w:r>
        <w:rPr>
          <w:rFonts w:ascii="Arial" w:cs="Arial" w:eastAsia="Arial" w:hAnsi="Arial"/>
          <w:sz w:val="20"/>
          <w:szCs w:val="20"/>
          <w:color w:val="auto"/>
        </w:rPr>
        <w:t>, to the consolidated financial statements included elsewhere in this Annual Report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sources and uses of cash for each of the periods presented (in thousands):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77"/>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22"/>
                <w:szCs w:val="22"/>
                <w:color w:val="auto"/>
                <w:w w:val="86"/>
              </w:rPr>
              <w:t>Year ended December 31,</w:t>
            </w:r>
          </w:p>
        </w:tc>
      </w:tr>
      <w:tr>
        <w:trPr>
          <w:trHeight w:val="289"/>
        </w:trPr>
        <w:tc>
          <w:tcPr>
            <w:tcW w:w="7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7"/>
        </w:trPr>
        <w:tc>
          <w:tcPr>
            <w:tcW w:w="7560" w:type="dxa"/>
            <w:vAlign w:val="bottom"/>
          </w:tcPr>
          <w:p>
            <w:pPr>
              <w:spacing w:after="0"/>
              <w:rPr>
                <w:sz w:val="20"/>
                <w:szCs w:val="20"/>
                <w:color w:val="auto"/>
              </w:rPr>
            </w:pPr>
            <w:r>
              <w:rPr>
                <w:rFonts w:ascii="Arial" w:cs="Arial" w:eastAsia="Arial" w:hAnsi="Arial"/>
                <w:sz w:val="22"/>
                <w:szCs w:val="22"/>
                <w:color w:val="auto"/>
              </w:rPr>
              <w:t>Cash provided by (used in) operating activities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29,614</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(62,303)</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Cash provided by (used in) investing activities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(44,905)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16,968</w:t>
            </w:r>
          </w:p>
        </w:tc>
      </w:tr>
      <w:tr>
        <w:trPr>
          <w:trHeight w:val="311"/>
        </w:trPr>
        <w:tc>
          <w:tcPr>
            <w:tcW w:w="7560" w:type="dxa"/>
            <w:vAlign w:val="bottom"/>
          </w:tcPr>
          <w:p>
            <w:pPr>
              <w:spacing w:after="0"/>
              <w:rPr>
                <w:sz w:val="20"/>
                <w:szCs w:val="20"/>
                <w:color w:val="auto"/>
              </w:rPr>
            </w:pPr>
            <w:r>
              <w:rPr>
                <w:rFonts w:ascii="Arial" w:cs="Arial" w:eastAsia="Arial" w:hAnsi="Arial"/>
                <w:sz w:val="22"/>
                <w:szCs w:val="22"/>
                <w:color w:val="auto"/>
              </w:rPr>
              <w:t>Cash provided by (used in) financing activities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25,547</w:t>
            </w:r>
          </w:p>
        </w:tc>
      </w:tr>
      <w:tr>
        <w:trPr>
          <w:trHeight w:val="269"/>
        </w:trPr>
        <w:tc>
          <w:tcPr>
            <w:tcW w:w="7560" w:type="dxa"/>
            <w:vAlign w:val="bottom"/>
          </w:tcPr>
          <w:p>
            <w:pPr>
              <w:spacing w:after="0"/>
              <w:rPr>
                <w:sz w:val="20"/>
                <w:szCs w:val="20"/>
                <w:color w:val="auto"/>
              </w:rPr>
            </w:pPr>
            <w:r>
              <w:rPr>
                <w:rFonts w:ascii="Arial" w:cs="Arial" w:eastAsia="Arial" w:hAnsi="Arial"/>
                <w:sz w:val="22"/>
                <w:szCs w:val="22"/>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(15,437)</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(19,788)</w:t>
            </w:r>
          </w:p>
        </w:tc>
      </w:tr>
      <w:tr>
        <w:trPr>
          <w:trHeight w:val="20"/>
        </w:trPr>
        <w:tc>
          <w:tcPr>
            <w:tcW w:w="7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-814705</wp:posOffset>
            </wp:positionV>
            <wp:extent cx="6522085" cy="221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522085" cy="22161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-422910</wp:posOffset>
            </wp:positionV>
            <wp:extent cx="6522085" cy="221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522085" cy="22161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-43180</wp:posOffset>
            </wp:positionV>
            <wp:extent cx="1687195" cy="50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1687195" cy="5016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245" w:lineRule="exact"/>
        <w:rPr>
          <w:sz w:val="20"/>
          <w:szCs w:val="20"/>
          <w:color w:val="auto"/>
        </w:rPr>
      </w:pPr>
    </w:p>
    <w:p>
      <w:pPr>
        <w:ind w:right="260"/>
        <w:spacing w:after="0" w:line="258" w:lineRule="auto"/>
        <w:rPr>
          <w:sz w:val="20"/>
          <w:szCs w:val="20"/>
          <w:color w:val="auto"/>
        </w:rPr>
      </w:pPr>
      <w:r>
        <w:rPr>
          <w:rFonts w:ascii="Arial" w:cs="Arial" w:eastAsia="Arial" w:hAnsi="Arial"/>
          <w:sz w:val="22"/>
          <w:szCs w:val="22"/>
          <w:color w:val="auto"/>
        </w:rPr>
        <w:t>During the year ended December 31, 2025, we had cash provided by operating activities of $29.6 million, primarily resulting from our net income of $22.4 million, along with $16.0 million of non-cash items, partially offset by changes in our operating assets and liabilities of $8.7 million.</w:t>
      </w:r>
    </w:p>
    <w:p>
      <w:pPr>
        <w:spacing w:after="0" w:line="196" w:lineRule="exact"/>
        <w:rPr>
          <w:sz w:val="20"/>
          <w:szCs w:val="20"/>
          <w:color w:val="auto"/>
        </w:rPr>
      </w:pPr>
    </w:p>
    <w:p>
      <w:pPr>
        <w:jc w:val="both"/>
        <w:ind w:right="240"/>
        <w:spacing w:after="0" w:line="296" w:lineRule="auto"/>
        <w:rPr>
          <w:sz w:val="20"/>
          <w:szCs w:val="20"/>
          <w:color w:val="auto"/>
        </w:rPr>
      </w:pPr>
      <w:r>
        <w:rPr>
          <w:rFonts w:ascii="Arial" w:cs="Arial" w:eastAsia="Arial" w:hAnsi="Arial"/>
          <w:sz w:val="20"/>
          <w:szCs w:val="20"/>
          <w:color w:val="auto"/>
        </w:rPr>
        <w:t>During the year ended December 31, 2024, we used cash in operating activities of $62.3 million, primarily resulting from our net loss of $69.7 million, partially offset by the non-cash charge related to stock compensation expense of $10.6 million, an increase in accretion on investments, and an increase in accounts payable.</w:t>
      </w:r>
    </w:p>
    <w:p>
      <w:pPr>
        <w:spacing w:after="0" w:line="160" w:lineRule="exact"/>
        <w:rPr>
          <w:sz w:val="20"/>
          <w:szCs w:val="20"/>
          <w:color w:val="auto"/>
        </w:rPr>
      </w:pPr>
    </w:p>
    <w:p>
      <w:pPr>
        <w:jc w:val="both"/>
        <w:ind w:right="220"/>
        <w:spacing w:after="0" w:line="271" w:lineRule="auto"/>
        <w:rPr>
          <w:sz w:val="20"/>
          <w:szCs w:val="20"/>
          <w:color w:val="auto"/>
        </w:rPr>
      </w:pPr>
      <w:r>
        <w:rPr>
          <w:rFonts w:ascii="Arial" w:cs="Arial" w:eastAsia="Arial" w:hAnsi="Arial"/>
          <w:sz w:val="22"/>
          <w:szCs w:val="22"/>
          <w:color w:val="auto"/>
        </w:rPr>
        <w:t>Changes in accounts payable and accrued expenses in all periods were generally due to ongoing development of our product candidates and the timing of vendor invoicing and payments.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245" w:lineRule="exact"/>
        <w:rPr>
          <w:sz w:val="20"/>
          <w:szCs w:val="20"/>
          <w:color w:val="auto"/>
        </w:rPr>
      </w:pPr>
    </w:p>
    <w:p>
      <w:pPr>
        <w:ind w:right="180"/>
        <w:spacing w:after="0" w:line="271" w:lineRule="auto"/>
        <w:rPr>
          <w:sz w:val="20"/>
          <w:szCs w:val="20"/>
          <w:color w:val="auto"/>
        </w:rPr>
      </w:pPr>
      <w:r>
        <w:rPr>
          <w:rFonts w:ascii="Arial" w:cs="Arial" w:eastAsia="Arial" w:hAnsi="Arial"/>
          <w:sz w:val="22"/>
          <w:szCs w:val="22"/>
          <w:color w:val="auto"/>
        </w:rPr>
        <w:t>During the year ended December 31, 2025, we had cash used investing activities of $44.9 million primarily from the purchase of investments offset by sales and maturities of investments.</w:t>
      </w:r>
    </w:p>
    <w:p>
      <w:pPr>
        <w:spacing w:after="0" w:line="181" w:lineRule="exact"/>
        <w:rPr>
          <w:sz w:val="20"/>
          <w:szCs w:val="20"/>
          <w:color w:val="auto"/>
        </w:rPr>
      </w:pPr>
    </w:p>
    <w:p>
      <w:pPr>
        <w:ind w:right="340"/>
        <w:spacing w:after="0" w:line="322" w:lineRule="auto"/>
        <w:rPr>
          <w:sz w:val="20"/>
          <w:szCs w:val="20"/>
          <w:color w:val="auto"/>
        </w:rPr>
      </w:pPr>
      <w:r>
        <w:rPr>
          <w:rFonts w:ascii="Arial" w:cs="Arial" w:eastAsia="Arial" w:hAnsi="Arial"/>
          <w:sz w:val="20"/>
          <w:szCs w:val="20"/>
          <w:color w:val="auto"/>
        </w:rPr>
        <w:t>During the year ended December 31, 2024, we had cash provided by investing activities of $17.0 million primarily from the sales and maturities of investments, netted against our purchase of investments.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10240"/>
          </w:cols>
          <w:pgMar w:left="820" w:top="678" w:right="82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245" w:lineRule="exact"/>
        <w:rPr>
          <w:sz w:val="20"/>
          <w:szCs w:val="20"/>
          <w:color w:val="auto"/>
        </w:rPr>
      </w:pPr>
    </w:p>
    <w:p>
      <w:pPr>
        <w:jc w:val="both"/>
        <w:ind w:right="420"/>
        <w:spacing w:after="0" w:line="296" w:lineRule="auto"/>
        <w:rPr>
          <w:sz w:val="20"/>
          <w:szCs w:val="20"/>
          <w:color w:val="auto"/>
        </w:rPr>
      </w:pPr>
      <w:r>
        <w:rPr>
          <w:rFonts w:ascii="Arial" w:cs="Arial" w:eastAsia="Arial" w:hAnsi="Arial"/>
          <w:sz w:val="20"/>
          <w:szCs w:val="20"/>
          <w:color w:val="auto"/>
        </w:rPr>
        <w:t>During the year ended December 31, 2025, we had cash used in financing activities of $0.1 million, consisting of proceeds from exercises of stock options and the participation in the 2020 Employee Stock Purchase Plan (ESPP) offset by the shares surrendered to cover taxes from a restricted stock unit vesting.</w:t>
      </w:r>
    </w:p>
    <w:p>
      <w:pPr>
        <w:spacing w:after="0" w:line="160" w:lineRule="exact"/>
        <w:rPr>
          <w:sz w:val="20"/>
          <w:szCs w:val="20"/>
          <w:color w:val="auto"/>
        </w:rPr>
      </w:pPr>
    </w:p>
    <w:p>
      <w:pPr>
        <w:jc w:val="both"/>
        <w:ind w:right="160"/>
        <w:spacing w:after="0" w:line="258" w:lineRule="auto"/>
        <w:rPr>
          <w:sz w:val="20"/>
          <w:szCs w:val="20"/>
          <w:color w:val="auto"/>
        </w:rPr>
      </w:pPr>
      <w:r>
        <w:rPr>
          <w:rFonts w:ascii="Arial" w:cs="Arial" w:eastAsia="Arial" w:hAnsi="Arial"/>
          <w:sz w:val="22"/>
          <w:szCs w:val="22"/>
          <w:color w:val="auto"/>
        </w:rPr>
        <w:t>During the year ended December 31, 2024, we had cash provided by financing activities of $25.5 million, consisting of proceeds from the sale of shares of our common stock pursuant to the ATM Program as well as exercises of stock options and participation in the employee stock purchase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 requirements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We expect our expenses to increase substantially in connection with our ongoing activities, particularly as we advance clinical trials of silevertinib. In addition, we expect to incur additional costs associated with operating as a public company, including significant legal, accounting, investor relations and other expenses. The timing and amount of our operating expenditures will depend largely on our ability to:</w:t>
      </w:r>
    </w:p>
    <w:p>
      <w:pPr>
        <w:spacing w:after="0" w:line="82" w:lineRule="exact"/>
        <w:rPr>
          <w:sz w:val="20"/>
          <w:szCs w:val="20"/>
          <w:color w:val="auto"/>
        </w:rPr>
      </w:pPr>
    </w:p>
    <w:p>
      <w:pPr>
        <w:ind w:left="720" w:hanging="363"/>
        <w:spacing w:after="0"/>
        <w:tabs>
          <w:tab w:leader="none" w:pos="7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advance silevertinib through clinical trials, either independently or with a partner;</w:t>
      </w:r>
    </w:p>
    <w:p>
      <w:pPr>
        <w:spacing w:after="0" w:line="123" w:lineRule="exact"/>
        <w:rPr>
          <w:rFonts w:ascii="Arial" w:cs="Arial" w:eastAsia="Arial" w:hAnsi="Arial"/>
          <w:sz w:val="22"/>
          <w:szCs w:val="22"/>
          <w:color w:val="auto"/>
        </w:rPr>
      </w:pPr>
    </w:p>
    <w:p>
      <w:pPr>
        <w:ind w:left="720" w:right="120" w:hanging="363"/>
        <w:spacing w:after="0" w:line="271" w:lineRule="auto"/>
        <w:tabs>
          <w:tab w:leader="none" w:pos="7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manufacture, or have manufactured on our behalf, our drug material and develop processes for late stage and commercial manufacturing;</w:t>
      </w:r>
    </w:p>
    <w:p>
      <w:pPr>
        <w:spacing w:after="0" w:line="63" w:lineRule="exact"/>
        <w:rPr>
          <w:rFonts w:ascii="Arial" w:cs="Arial" w:eastAsia="Arial" w:hAnsi="Arial"/>
          <w:sz w:val="22"/>
          <w:szCs w:val="22"/>
          <w:color w:val="auto"/>
        </w:rPr>
      </w:pPr>
    </w:p>
    <w:p>
      <w:pPr>
        <w:ind w:left="720" w:hanging="363"/>
        <w:spacing w:after="0"/>
        <w:tabs>
          <w:tab w:leader="none" w:pos="7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seek regulatory approvals for any product candidates that successfully complete clinical trials;</w:t>
      </w:r>
    </w:p>
    <w:p>
      <w:pPr>
        <w:spacing w:after="0" w:line="123" w:lineRule="exact"/>
        <w:rPr>
          <w:rFonts w:ascii="Arial" w:cs="Arial" w:eastAsia="Arial" w:hAnsi="Arial"/>
          <w:sz w:val="22"/>
          <w:szCs w:val="22"/>
          <w:color w:val="auto"/>
        </w:rPr>
      </w:pPr>
    </w:p>
    <w:p>
      <w:pPr>
        <w:ind w:left="720" w:right="500" w:hanging="363"/>
        <w:spacing w:after="0" w:line="348" w:lineRule="auto"/>
        <w:tabs>
          <w:tab w:leader="none" w:pos="7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establish a sales, marketing, medical affairs and distribution infrastructure to commercialize any product candidates for which we may obtain marketing approval and intend to commercialize on our own; and</w:t>
      </w:r>
    </w:p>
    <w:p>
      <w:pPr>
        <w:spacing w:after="0" w:line="1" w:lineRule="exact"/>
        <w:rPr>
          <w:rFonts w:ascii="Arial" w:cs="Arial" w:eastAsia="Arial" w:hAnsi="Arial"/>
          <w:sz w:val="19"/>
          <w:szCs w:val="19"/>
          <w:color w:val="auto"/>
        </w:rPr>
      </w:pPr>
    </w:p>
    <w:p>
      <w:pPr>
        <w:ind w:left="720" w:hanging="363"/>
        <w:spacing w:after="0"/>
        <w:tabs>
          <w:tab w:leader="none" w:pos="7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obtain, maintain, expand, enforce and protect our intellectual property portfolio.</w:t>
      </w:r>
    </w:p>
    <w:p>
      <w:pPr>
        <w:spacing w:after="0" w:line="241" w:lineRule="exact"/>
        <w:rPr>
          <w:sz w:val="20"/>
          <w:szCs w:val="20"/>
          <w:color w:val="auto"/>
        </w:rPr>
      </w:pPr>
    </w:p>
    <w:p>
      <w:pPr>
        <w:ind w:right="80"/>
        <w:spacing w:after="0" w:line="295" w:lineRule="auto"/>
        <w:rPr>
          <w:sz w:val="20"/>
          <w:szCs w:val="20"/>
          <w:color w:val="auto"/>
        </w:rPr>
      </w:pPr>
      <w:r>
        <w:rPr>
          <w:rFonts w:ascii="Arial" w:cs="Arial" w:eastAsia="Arial" w:hAnsi="Arial"/>
          <w:sz w:val="19"/>
          <w:szCs w:val="19"/>
          <w:color w:val="auto"/>
        </w:rPr>
        <w:t>As of December 31, 2025, we had cash, cash equivalents and investments of $128.7 million, which we believe will fund our operating expenses and capital expenditure requirements into the second half of 2028. We have based this estimate on assumptions that may prove to be wrong, and we could utilize our available capital resources sooner than we expect. We anticipate that we will require additional capital as we seek regulatory approval of our product candidates and if we choose to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w:t>
      </w:r>
    </w:p>
    <w:p>
      <w:pPr>
        <w:spacing w:after="0" w:line="166" w:lineRule="exact"/>
        <w:rPr>
          <w:sz w:val="20"/>
          <w:szCs w:val="20"/>
          <w:color w:val="auto"/>
        </w:rPr>
      </w:pPr>
    </w:p>
    <w:p>
      <w:pPr>
        <w:ind w:right="80"/>
        <w:spacing w:after="0" w:line="280" w:lineRule="auto"/>
        <w:rPr>
          <w:sz w:val="20"/>
          <w:szCs w:val="20"/>
          <w:color w:val="auto"/>
        </w:rPr>
      </w:pPr>
      <w:r>
        <w:rPr>
          <w:rFonts w:ascii="Arial" w:cs="Arial" w:eastAsia="Arial" w:hAnsi="Arial"/>
          <w:sz w:val="20"/>
          <w:szCs w:val="20"/>
          <w:color w:val="auto"/>
        </w:rPr>
        <w:t>Because of the numerous risks and uncertainties associated with research, development and commercialization of product candidates, we are unable to predict the timing or amount of increased expenses or when or if we will be able to achieve or maintain profitability. If we fail to become profitable or are unable to sustain profitability on a continuing basis, then we may be unable to continue our operations at planned levels and be forced to further reduce or terminate our operations. Our future funding requirements will depend on and could increase significantly as a result of many factors, including:</w:t>
      </w:r>
    </w:p>
    <w:p>
      <w:pPr>
        <w:spacing w:after="0" w:line="60" w:lineRule="exact"/>
        <w:rPr>
          <w:sz w:val="20"/>
          <w:szCs w:val="20"/>
          <w:color w:val="auto"/>
        </w:rPr>
      </w:pPr>
    </w:p>
    <w:p>
      <w:pPr>
        <w:ind w:left="720" w:hanging="363"/>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scope, progress, results and costs of developing our product candidates, and conducting clinical trials;</w:t>
      </w:r>
    </w:p>
    <w:p>
      <w:pPr>
        <w:spacing w:after="0" w:line="146" w:lineRule="exact"/>
        <w:rPr>
          <w:rFonts w:ascii="Arial" w:cs="Arial" w:eastAsia="Arial" w:hAnsi="Arial"/>
          <w:sz w:val="20"/>
          <w:szCs w:val="20"/>
          <w:color w:val="auto"/>
        </w:rPr>
      </w:pPr>
    </w:p>
    <w:p>
      <w:pPr>
        <w:ind w:left="720" w:hanging="363"/>
        <w:spacing w:after="0"/>
        <w:tabs>
          <w:tab w:leader="none" w:pos="7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costs, timing and outcome of regulatory review of our product candidates;</w:t>
      </w:r>
    </w:p>
    <w:p>
      <w:pPr>
        <w:spacing w:after="0" w:line="123" w:lineRule="exact"/>
        <w:rPr>
          <w:rFonts w:ascii="Arial" w:cs="Arial" w:eastAsia="Arial" w:hAnsi="Arial"/>
          <w:sz w:val="22"/>
          <w:szCs w:val="22"/>
          <w:color w:val="auto"/>
        </w:rPr>
      </w:pPr>
    </w:p>
    <w:p>
      <w:pPr>
        <w:ind w:left="720" w:right="80" w:hanging="363"/>
        <w:spacing w:after="0" w:line="271" w:lineRule="auto"/>
        <w:tabs>
          <w:tab w:leader="none" w:pos="7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costs, timing and ability to manufacture our product candidates to supply our clinical development efforts and our clinical trials;</w:t>
      </w:r>
    </w:p>
    <w:p>
      <w:pPr>
        <w:spacing w:after="0" w:line="63" w:lineRule="exact"/>
        <w:rPr>
          <w:rFonts w:ascii="Arial" w:cs="Arial" w:eastAsia="Arial" w:hAnsi="Arial"/>
          <w:sz w:val="22"/>
          <w:szCs w:val="22"/>
          <w:color w:val="auto"/>
        </w:rPr>
      </w:pPr>
    </w:p>
    <w:p>
      <w:pPr>
        <w:ind w:left="720" w:right="40" w:hanging="363"/>
        <w:spacing w:after="0" w:line="258" w:lineRule="auto"/>
        <w:tabs>
          <w:tab w:leader="none" w:pos="7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Servier’s ability to develop and commercialize BDTX-4933 and the receipt of potential milestone and royalty payments from commercial product sales, along with tiered royalties based on global net sales, if any, under the Servier Agreement;</w:t>
      </w:r>
    </w:p>
    <w:p>
      <w:pPr>
        <w:spacing w:after="0" w:line="77" w:lineRule="exact"/>
        <w:rPr>
          <w:rFonts w:ascii="Arial" w:cs="Arial" w:eastAsia="Arial" w:hAnsi="Arial"/>
          <w:sz w:val="22"/>
          <w:szCs w:val="22"/>
          <w:color w:val="auto"/>
        </w:rPr>
      </w:pPr>
    </w:p>
    <w:p>
      <w:pPr>
        <w:ind w:left="720" w:right="920" w:hanging="363"/>
        <w:spacing w:after="0" w:line="322"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costs of future activities, including product sales, medical affairs, marketing, manufacturing and distribution, for any of our product candidates for which we receive marketing approval;</w:t>
      </w:r>
    </w:p>
    <w:p>
      <w:pPr>
        <w:sectPr>
          <w:pgSz w:w="11880" w:h="15480" w:orient="portrait"/>
          <w:cols w:equalWidth="0" w:num="1">
            <w:col w:w="10220"/>
          </w:cols>
          <w:pgMar w:left="820" w:top="674"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10220"/>
          </w:cols>
          <w:pgMar w:left="820" w:top="674" w:right="840" w:bottom="0" w:gutter="0" w:footer="0" w:header="0"/>
          <w:type w:val="continuous"/>
        </w:sectPr>
      </w:pPr>
    </w:p>
    <w:bookmarkStart w:id="131" w:name="page132"/>
    <w:bookmarkEnd w:id="131"/>
    <w:p>
      <w:pPr>
        <w:jc w:val="both"/>
        <w:ind w:left="720" w:right="60" w:hanging="363"/>
        <w:spacing w:after="0" w:line="296"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42" w:lineRule="exact"/>
        <w:rPr>
          <w:rFonts w:ascii="Arial" w:cs="Arial" w:eastAsia="Arial" w:hAnsi="Arial"/>
          <w:sz w:val="20"/>
          <w:szCs w:val="20"/>
          <w:color w:val="auto"/>
        </w:rPr>
      </w:pPr>
    </w:p>
    <w:p>
      <w:pPr>
        <w:ind w:left="720" w:hanging="363"/>
        <w:spacing w:after="0"/>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ability to receive additional non-dilutive funding;</w:t>
      </w:r>
    </w:p>
    <w:p>
      <w:pPr>
        <w:spacing w:after="0" w:line="123" w:lineRule="exact"/>
        <w:rPr>
          <w:rFonts w:ascii="Arial" w:cs="Arial" w:eastAsia="Arial" w:hAnsi="Arial"/>
          <w:sz w:val="22"/>
          <w:szCs w:val="22"/>
          <w:color w:val="auto"/>
        </w:rPr>
      </w:pPr>
    </w:p>
    <w:p>
      <w:pPr>
        <w:ind w:left="720" w:right="560" w:hanging="363"/>
        <w:spacing w:after="0" w:line="271" w:lineRule="auto"/>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revenue, if any, received from commercial sale of our product candidates, should any of our product candidates receive marketing approval;</w:t>
      </w:r>
    </w:p>
    <w:p>
      <w:pPr>
        <w:spacing w:after="0" w:line="63" w:lineRule="exact"/>
        <w:rPr>
          <w:rFonts w:ascii="Arial" w:cs="Arial" w:eastAsia="Arial" w:hAnsi="Arial"/>
          <w:sz w:val="22"/>
          <w:szCs w:val="22"/>
          <w:color w:val="auto"/>
        </w:rPr>
      </w:pPr>
    </w:p>
    <w:p>
      <w:pPr>
        <w:ind w:left="720" w:right="560" w:hanging="363"/>
        <w:spacing w:after="0" w:line="322"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costs of preparing, filing and prosecuting patent applications, obtaining, maintaining, expanding and enforcing our intellectual property rights and defending intellectual property-related claims;</w:t>
      </w:r>
    </w:p>
    <w:p>
      <w:pPr>
        <w:spacing w:after="0" w:line="17" w:lineRule="exact"/>
        <w:rPr>
          <w:rFonts w:ascii="Arial" w:cs="Arial" w:eastAsia="Arial" w:hAnsi="Arial"/>
          <w:sz w:val="20"/>
          <w:szCs w:val="20"/>
          <w:color w:val="auto"/>
        </w:rPr>
      </w:pPr>
    </w:p>
    <w:p>
      <w:pPr>
        <w:ind w:left="720" w:right="60" w:hanging="363"/>
        <w:spacing w:after="0" w:line="254" w:lineRule="auto"/>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our ability to establish and maintain additional collaborations and license agreements on favorable terms, if at all, and the ability and willingness of our third-party strategic collaborators to undertake research and development activities relating to our product candidates, and the success of those collaborations and license agreements;</w:t>
      </w:r>
    </w:p>
    <w:p>
      <w:pPr>
        <w:spacing w:after="0" w:line="81" w:lineRule="exact"/>
        <w:rPr>
          <w:rFonts w:ascii="Arial" w:cs="Arial" w:eastAsia="Arial" w:hAnsi="Arial"/>
          <w:sz w:val="22"/>
          <w:szCs w:val="22"/>
          <w:color w:val="auto"/>
        </w:rPr>
      </w:pPr>
    </w:p>
    <w:p>
      <w:pPr>
        <w:ind w:left="720" w:hanging="363"/>
        <w:spacing w:after="0"/>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extent to which we acquire or in-license other product candidates and technologies;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ongoing costs of operating as a public company; and</w:t>
      </w:r>
    </w:p>
    <w:p>
      <w:pPr>
        <w:spacing w:after="0" w:line="123" w:lineRule="exact"/>
        <w:rPr>
          <w:rFonts w:ascii="Arial" w:cs="Arial" w:eastAsia="Arial" w:hAnsi="Arial"/>
          <w:sz w:val="22"/>
          <w:szCs w:val="22"/>
          <w:color w:val="auto"/>
        </w:rPr>
      </w:pPr>
    </w:p>
    <w:p>
      <w:pPr>
        <w:ind w:left="720" w:right="500" w:hanging="363"/>
        <w:spacing w:after="0" w:line="271" w:lineRule="auto"/>
        <w:tabs>
          <w:tab w:leader="none" w:pos="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general macroeconomic, geopolitical, industry and market conditions, including increases in inflationary rates, tariffs, interest rates and supply chain constraints.</w:t>
      </w:r>
    </w:p>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As a result, we will need substantial additional funding to support our continuing operations and pursue our growth strategy. Until such time, if ever, as we can generate substantial product revenue from product sales, we expect to finance our operations through a combination of public or private equity offerings, debt financings, collaborations, strategic partnerships and alliances or marketing, distribution or licensing arrangements with third parties or through other sources of financing. In addition, we may seek additional capital due to favorable market conditions or strategic considerations, even if we believe that we have sufficient funds for our current or future operating plans. However, the trading prices for our common stock and for other biopharmaceutical companies have been highly volatile. As a result, we may face difficulties raising capital through sales of our common stock, and such sales may be on unfavorable terms. Similarly, adverse macroeconomic conditions and market volatility resulting from global economic developments, political unrest, high inflation, global health crises, or other factors could materially and adversely affect our ability to consummate an equity or debt financing on favorable terms or at all. We may be unable to raise additional funds or enter into such other agreements or arrangements when needed on favorable terms, or at all.</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To the extent that we raise additional capital through the sale of private or public equity or convertible debt securities, the ownership interest of our stockholders may be materially diluted, and the terms of such securities could include liquidation or other preferences and anti-dilution protections that could adversely affect the rights of our common stockholders. Debt financing and preferred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debt financing may involve significant cash payment obligations and specific financial ratios that may restrict our ability to operate our business would result in fixed payment obligations.</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9"/>
          <w:szCs w:val="19"/>
          <w:color w:val="auto"/>
        </w:rPr>
        <w:t>If we raise additional funds through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 obtain capital through arrangements with collaborators on terms unfavorable to us or pursue merger or acquisition strategies, all of which could adversely affect the holdings or the rights of our stockholders.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10240"/>
          </w:cols>
          <w:pgMar w:left="820" w:top="678" w:right="82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2"/>
          <w:szCs w:val="22"/>
          <w:b w:val="1"/>
          <w:bCs w:val="1"/>
          <w:color w:val="auto"/>
        </w:rPr>
        <w:t>Critical accounting policies and significant judgments and use of estimates</w:t>
      </w:r>
    </w:p>
    <w:p>
      <w:pPr>
        <w:spacing w:after="0" w:line="248"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6" w:lineRule="exact"/>
        <w:rPr>
          <w:sz w:val="20"/>
          <w:szCs w:val="20"/>
          <w:color w:val="auto"/>
        </w:rPr>
      </w:pPr>
    </w:p>
    <w:p>
      <w:pPr>
        <w:ind w:right="260"/>
        <w:spacing w:after="0" w:line="258" w:lineRule="auto"/>
        <w:rPr>
          <w:sz w:val="20"/>
          <w:szCs w:val="20"/>
          <w:color w:val="auto"/>
        </w:rPr>
      </w:pPr>
      <w:r>
        <w:rPr>
          <w:rFonts w:ascii="Arial" w:cs="Arial" w:eastAsia="Arial" w:hAnsi="Arial"/>
          <w:sz w:val="22"/>
          <w:szCs w:val="22"/>
          <w:color w:val="auto"/>
        </w:rPr>
        <w:t>While our significant accounting policies are described in more detail in Note 2 to our consolidated financial statements, we believe that the following accounting policies are those most critical to the judgments and estimates used in the preparation of our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Accrued research and development costs</w:t>
      </w:r>
    </w:p>
    <w:p>
      <w:pPr>
        <w:spacing w:after="0" w:line="250"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70" w:lineRule="exact"/>
        <w:rPr>
          <w:sz w:val="20"/>
          <w:szCs w:val="20"/>
          <w:color w:val="auto"/>
        </w:rPr>
      </w:pPr>
    </w:p>
    <w:p>
      <w:pPr>
        <w:ind w:left="720" w:hanging="363"/>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vendors, including research laboratories, in connection with preclinical development activities;</w:t>
      </w:r>
    </w:p>
    <w:p>
      <w:pPr>
        <w:spacing w:after="0" w:line="123" w:lineRule="exact"/>
        <w:rPr>
          <w:rFonts w:ascii="Arial" w:cs="Arial" w:eastAsia="Arial" w:hAnsi="Arial"/>
          <w:sz w:val="22"/>
          <w:szCs w:val="22"/>
          <w:color w:val="auto"/>
        </w:rPr>
      </w:pPr>
    </w:p>
    <w:p>
      <w:pPr>
        <w:ind w:left="720" w:hanging="363"/>
        <w:spacing w:after="0"/>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CROs and investigative sites in connection with preclinical studies and clinical trials; and</w:t>
      </w:r>
    </w:p>
    <w:p>
      <w:pPr>
        <w:spacing w:after="0" w:line="123" w:lineRule="exact"/>
        <w:rPr>
          <w:rFonts w:ascii="Arial" w:cs="Arial" w:eastAsia="Arial" w:hAnsi="Arial"/>
          <w:sz w:val="22"/>
          <w:szCs w:val="22"/>
          <w:color w:val="auto"/>
        </w:rPr>
      </w:pPr>
    </w:p>
    <w:p>
      <w:pPr>
        <w:ind w:left="720" w:hanging="363"/>
        <w:spacing w:after="0" w:line="271" w:lineRule="auto"/>
        <w:tabs>
          <w:tab w:leader="none" w:pos="7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CMOs in connection with drug substance and drug product formulation of preclinical studies and clinical trial materials.</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ectPr>
          <w:pgSz w:w="11880" w:h="15480" w:orient="portrait"/>
          <w:cols w:equalWidth="0" w:num="1">
            <w:col w:w="10180"/>
          </w:cols>
          <w:pgMar w:left="820" w:top="67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10180"/>
          </w:cols>
          <w:pgMar w:left="820" w:top="670" w:right="880"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250"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We measure stock options and other stock-based awards granted to employees, non-employees and directors based on their fair value on the date of the grant and recognize the corresponding compensation expense of those awards over the requisite service period, which is generally the vesting period of the respective award. We have generally only issued stock options and restricted stock units with service-based vesting conditions and record the expense for these awards using the straight-line method. For stock options or restricted stock units issued with performance-based vesting conditions, the related stock compensation expense is recognized based on the grant date fair value when achievement of the performance condition is deemed probable. The graded-vesting method would apply to all stock-based awards with performance-based vesting conditions or to awards with both service-based and performance-based vesting conditions.</w:t>
      </w:r>
    </w:p>
    <w:p>
      <w:pPr>
        <w:spacing w:after="0" w:line="183" w:lineRule="exact"/>
        <w:rPr>
          <w:sz w:val="20"/>
          <w:szCs w:val="20"/>
          <w:color w:val="auto"/>
        </w:rPr>
      </w:pPr>
    </w:p>
    <w:p>
      <w:pPr>
        <w:ind w:right="60"/>
        <w:spacing w:after="0" w:line="351" w:lineRule="auto"/>
        <w:rPr>
          <w:sz w:val="20"/>
          <w:szCs w:val="20"/>
          <w:color w:val="auto"/>
        </w:rPr>
      </w:pPr>
      <w:r>
        <w:rPr>
          <w:rFonts w:ascii="Arial" w:cs="Arial" w:eastAsia="Arial" w:hAnsi="Arial"/>
          <w:sz w:val="19"/>
          <w:szCs w:val="19"/>
          <w:color w:val="auto"/>
        </w:rPr>
        <w:t>We have historically granted stock options with exercise prices equivalent to the fair value of our common stock as of the date of grant. For grants of restricted stock units, we base the fair value on the stock price as of the date of grant.</w:t>
      </w:r>
    </w:p>
    <w:p>
      <w:pPr>
        <w:spacing w:after="0" w:line="114"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auto"/>
        </w:rPr>
        <w:t>We account for stock-based awards granted to employees and non-employees at fair value, which is measured using the Black-Scholes option-pricing model. The measurement date for the awards is generally the date of grant. Stock-based compensation costs are recognized as expenses over the requisite service period, which is generally the vesting period, on a straight-line basis for all time-vested awards.</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22"/>
          <w:szCs w:val="22"/>
          <w:color w:val="auto"/>
        </w:rPr>
        <w:t>We estimate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22"/>
          <w:szCs w:val="22"/>
          <w:color w:val="auto"/>
        </w:rPr>
        <w:t>A description of recently issued accounting pronouncements that may potentially impact our financial position and results of operations is disclosed in Note 2 to our consolidated financial statements appearing elsewhere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Smaller reporting company status</w:t>
      </w:r>
    </w:p>
    <w:p>
      <w:pPr>
        <w:spacing w:after="0" w:line="248" w:lineRule="exact"/>
        <w:rPr>
          <w:sz w:val="20"/>
          <w:szCs w:val="20"/>
          <w:color w:val="auto"/>
        </w:rPr>
      </w:pPr>
    </w:p>
    <w:p>
      <w:pPr>
        <w:ind w:right="460"/>
        <w:spacing w:after="0" w:line="254" w:lineRule="auto"/>
        <w:rPr>
          <w:sz w:val="20"/>
          <w:szCs w:val="20"/>
          <w:color w:val="auto"/>
        </w:rPr>
      </w:pPr>
      <w:r>
        <w:rPr>
          <w:rFonts w:ascii="Arial" w:cs="Arial" w:eastAsia="Arial" w:hAnsi="Arial"/>
          <w:sz w:val="22"/>
          <w:szCs w:val="22"/>
          <w:color w:val="auto"/>
        </w:rPr>
        <w:t>Effective as of December 31, 2025, the fifth anniversary of the closing of our IPO, we no longer qualify as an “emerging growth company.” As a result, commencing with this Annual Report, we are no longer eligible to take advantage of certain exemptions from various reporting requirements that are applicable to emerging growth companies.</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We are still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a smaller reporting company, we may continue to rely on exemptions from certain disclosure requirements that are available to smaller reporting companies despite the loss of emerging growth company status.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 About Market Risk</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22"/>
          <w:szCs w:val="22"/>
          <w:color w:val="auto"/>
        </w:rPr>
        <w:t>We are a smaller reporting company as defined by Rule 12b-2 of the Exchange Act and are not required to provide the information required under this item.</w:t>
      </w:r>
    </w:p>
    <w:p>
      <w:pPr>
        <w:sectPr>
          <w:pgSz w:w="11880" w:h="15480" w:orient="portrait"/>
          <w:cols w:equalWidth="0" w:num="1">
            <w:col w:w="10240"/>
          </w:cols>
          <w:pgMar w:left="820" w:top="66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w:t>
      </w:r>
    </w:p>
    <w:p>
      <w:pPr>
        <w:sectPr>
          <w:pgSz w:w="11880" w:h="15480" w:orient="portrait"/>
          <w:cols w:equalWidth="0" w:num="1">
            <w:col w:w="10240"/>
          </w:cols>
          <w:pgMar w:left="820" w:top="668" w:right="82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84"/>
        </w:trPr>
        <w:tc>
          <w:tcPr>
            <w:tcW w:w="8960" w:type="dxa"/>
            <w:vAlign w:val="bottom"/>
          </w:tcPr>
          <w:p>
            <w:pPr>
              <w:spacing w:after="0"/>
              <w:rPr>
                <w:sz w:val="20"/>
                <w:szCs w:val="20"/>
                <w:color w:val="auto"/>
              </w:rPr>
            </w:pPr>
            <w:r>
              <w:rPr>
                <w:rFonts w:ascii="Arial" w:cs="Arial" w:eastAsia="Arial" w:hAnsi="Arial"/>
                <w:sz w:val="22"/>
                <w:szCs w:val="22"/>
                <w:b w:val="1"/>
                <w:bCs w:val="1"/>
                <w:color w:val="auto"/>
              </w:rPr>
              <w:t>Item 8. Consolidated Financial Statements and Supplementary Data</w:t>
            </w:r>
          </w:p>
        </w:tc>
        <w:tc>
          <w:tcPr>
            <w:tcW w:w="1280" w:type="dxa"/>
            <w:vAlign w:val="bottom"/>
          </w:tcPr>
          <w:p>
            <w:pPr>
              <w:spacing w:after="0"/>
              <w:rPr>
                <w:sz w:val="24"/>
                <w:szCs w:val="24"/>
                <w:color w:val="auto"/>
              </w:rPr>
            </w:pPr>
          </w:p>
        </w:tc>
      </w:tr>
      <w:tr>
        <w:trPr>
          <w:trHeight w:val="494"/>
        </w:trPr>
        <w:tc>
          <w:tcPr>
            <w:tcW w:w="8960" w:type="dxa"/>
            <w:vAlign w:val="bottom"/>
          </w:tcPr>
          <w:p>
            <w:pPr>
              <w:ind w:left="3020"/>
              <w:spacing w:after="0"/>
              <w:rPr>
                <w:sz w:val="20"/>
                <w:szCs w:val="20"/>
                <w:color w:val="auto"/>
              </w:rPr>
            </w:pPr>
            <w:r>
              <w:rPr>
                <w:rFonts w:ascii="Arial" w:cs="Arial" w:eastAsia="Arial" w:hAnsi="Arial"/>
                <w:sz w:val="22"/>
                <w:szCs w:val="22"/>
                <w:b w:val="1"/>
                <w:bCs w:val="1"/>
                <w:color w:val="auto"/>
              </w:rPr>
              <w:t>BLACK DIAMOND THERAPEUTICS, INC.</w:t>
            </w:r>
          </w:p>
        </w:tc>
        <w:tc>
          <w:tcPr>
            <w:tcW w:w="1280" w:type="dxa"/>
            <w:vAlign w:val="bottom"/>
          </w:tcPr>
          <w:p>
            <w:pPr>
              <w:spacing w:after="0"/>
              <w:rPr>
                <w:sz w:val="24"/>
                <w:szCs w:val="24"/>
                <w:color w:val="auto"/>
              </w:rPr>
            </w:pPr>
          </w:p>
        </w:tc>
      </w:tr>
      <w:tr>
        <w:trPr>
          <w:trHeight w:val="494"/>
        </w:trPr>
        <w:tc>
          <w:tcPr>
            <w:tcW w:w="8960" w:type="dxa"/>
            <w:vAlign w:val="bottom"/>
          </w:tcPr>
          <w:p>
            <w:pPr>
              <w:ind w:left="3120"/>
              <w:spacing w:after="0"/>
              <w:rPr>
                <w:sz w:val="20"/>
                <w:szCs w:val="20"/>
                <w:color w:val="auto"/>
              </w:rPr>
            </w:pPr>
            <w:r>
              <w:rPr>
                <w:rFonts w:ascii="Arial" w:cs="Arial" w:eastAsia="Arial" w:hAnsi="Arial"/>
                <w:sz w:val="22"/>
                <w:szCs w:val="22"/>
                <w:b w:val="1"/>
                <w:bCs w:val="1"/>
                <w:color w:val="auto"/>
              </w:rPr>
              <w:t>Index to Consolidated Financial Statements</w:t>
            </w:r>
          </w:p>
        </w:tc>
        <w:tc>
          <w:tcPr>
            <w:tcW w:w="1280" w:type="dxa"/>
            <w:vAlign w:val="bottom"/>
          </w:tcPr>
          <w:p>
            <w:pPr>
              <w:spacing w:after="0"/>
              <w:rPr>
                <w:sz w:val="24"/>
                <w:szCs w:val="24"/>
                <w:color w:val="auto"/>
              </w:rPr>
            </w:pPr>
          </w:p>
        </w:tc>
      </w:tr>
      <w:tr>
        <w:trPr>
          <w:trHeight w:val="348"/>
        </w:trPr>
        <w:tc>
          <w:tcPr>
            <w:tcW w:w="8960" w:type="dxa"/>
            <w:vAlign w:val="bottom"/>
          </w:tcPr>
          <w:p>
            <w:pPr>
              <w:spacing w:after="0"/>
              <w:rPr>
                <w:sz w:val="24"/>
                <w:szCs w:val="24"/>
                <w:color w:val="auto"/>
              </w:rPr>
            </w:pP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Page No.</w:t>
            </w:r>
          </w:p>
        </w:tc>
      </w:tr>
      <w:tr>
        <w:trPr>
          <w:trHeight w:val="280"/>
        </w:trPr>
        <w:tc>
          <w:tcPr>
            <w:tcW w:w="8960" w:type="dxa"/>
            <w:vAlign w:val="bottom"/>
          </w:tcPr>
          <w:p>
            <w:pPr>
              <w:ind w:left="60"/>
              <w:spacing w:after="0"/>
              <w:rPr>
                <w:sz w:val="20"/>
                <w:szCs w:val="20"/>
                <w:color w:val="auto"/>
              </w:rPr>
            </w:pPr>
            <w:r>
              <w:rPr>
                <w:rFonts w:ascii="Arial" w:cs="Arial" w:eastAsia="Arial" w:hAnsi="Arial"/>
                <w:sz w:val="22"/>
                <w:szCs w:val="22"/>
                <w:color w:val="auto"/>
              </w:rPr>
              <w:t>Report of Independent Registered Public Accounting Firm (PCAOB ID 238)</w:t>
            </w:r>
          </w:p>
        </w:tc>
        <w:tc>
          <w:tcPr>
            <w:tcW w:w="12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599"/>
        </w:trPr>
        <w:tc>
          <w:tcPr>
            <w:tcW w:w="8960" w:type="dxa"/>
            <w:vAlign w:val="bottom"/>
          </w:tcPr>
          <w:p>
            <w:pPr>
              <w:ind w:left="60"/>
              <w:spacing w:after="0"/>
              <w:rPr>
                <w:sz w:val="20"/>
                <w:szCs w:val="20"/>
                <w:color w:val="auto"/>
              </w:rPr>
            </w:pPr>
            <w:r>
              <w:rPr>
                <w:rFonts w:ascii="Arial" w:cs="Arial" w:eastAsia="Arial" w:hAnsi="Arial"/>
                <w:sz w:val="22"/>
                <w:szCs w:val="22"/>
                <w:color w:val="auto"/>
              </w:rPr>
              <w:t>Consolidated Balance Sheets</w:t>
            </w:r>
          </w:p>
        </w:tc>
        <w:tc>
          <w:tcPr>
            <w:tcW w:w="12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603"/>
        </w:trPr>
        <w:tc>
          <w:tcPr>
            <w:tcW w:w="8960" w:type="dxa"/>
            <w:vAlign w:val="bottom"/>
          </w:tcPr>
          <w:p>
            <w:pPr>
              <w:ind w:left="60"/>
              <w:spacing w:after="0"/>
              <w:rPr>
                <w:sz w:val="20"/>
                <w:szCs w:val="20"/>
                <w:color w:val="auto"/>
              </w:rPr>
            </w:pPr>
            <w:r>
              <w:rPr>
                <w:rFonts w:ascii="Arial" w:cs="Arial" w:eastAsia="Arial" w:hAnsi="Arial"/>
                <w:sz w:val="22"/>
                <w:szCs w:val="22"/>
                <w:color w:val="auto"/>
              </w:rPr>
              <w:t>Consolidated Statements of Operations and Comprehensive Income (Loss)</w:t>
            </w:r>
          </w:p>
        </w:tc>
        <w:tc>
          <w:tcPr>
            <w:tcW w:w="12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603"/>
        </w:trPr>
        <w:tc>
          <w:tcPr>
            <w:tcW w:w="8960" w:type="dxa"/>
            <w:vAlign w:val="bottom"/>
          </w:tcPr>
          <w:p>
            <w:pPr>
              <w:ind w:left="60"/>
              <w:spacing w:after="0"/>
              <w:rPr>
                <w:sz w:val="20"/>
                <w:szCs w:val="20"/>
                <w:color w:val="auto"/>
              </w:rPr>
            </w:pPr>
            <w:r>
              <w:rPr>
                <w:rFonts w:ascii="Arial" w:cs="Arial" w:eastAsia="Arial" w:hAnsi="Arial"/>
                <w:sz w:val="22"/>
                <w:szCs w:val="22"/>
                <w:color w:val="auto"/>
              </w:rPr>
              <w:t>Consolidated Statements of Cash Flows</w:t>
            </w:r>
          </w:p>
        </w:tc>
        <w:tc>
          <w:tcPr>
            <w:tcW w:w="128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617"/>
        </w:trPr>
        <w:tc>
          <w:tcPr>
            <w:tcW w:w="8960" w:type="dxa"/>
            <w:vAlign w:val="bottom"/>
          </w:tcPr>
          <w:p>
            <w:pPr>
              <w:ind w:left="60"/>
              <w:spacing w:after="0"/>
              <w:rPr>
                <w:sz w:val="20"/>
                <w:szCs w:val="20"/>
                <w:color w:val="auto"/>
              </w:rPr>
            </w:pPr>
            <w:r>
              <w:rPr>
                <w:rFonts w:ascii="Arial" w:cs="Arial" w:eastAsia="Arial" w:hAnsi="Arial"/>
                <w:sz w:val="22"/>
                <w:szCs w:val="22"/>
                <w:color w:val="auto"/>
              </w:rPr>
              <w:t>Consolidated Statements of Stockholders' Equity</w:t>
            </w:r>
          </w:p>
        </w:tc>
        <w:tc>
          <w:tcPr>
            <w:tcW w:w="1280" w:type="dxa"/>
            <w:vAlign w:val="bottom"/>
          </w:tcPr>
          <w:p>
            <w:pPr>
              <w:jc w:val="right"/>
              <w:spacing w:after="0"/>
              <w:rPr>
                <w:sz w:val="20"/>
                <w:szCs w:val="20"/>
                <w:color w:val="auto"/>
              </w:rPr>
            </w:pPr>
            <w:r>
              <w:rPr>
                <w:rFonts w:ascii="Arial" w:cs="Arial" w:eastAsia="Arial" w:hAnsi="Arial"/>
                <w:sz w:val="22"/>
                <w:szCs w:val="22"/>
                <w:color w:val="auto"/>
              </w:rPr>
              <w:t>137</w:t>
            </w:r>
          </w:p>
        </w:tc>
      </w:tr>
    </w:tbl>
    <w:p>
      <w:pPr>
        <w:spacing w:after="0" w:line="200" w:lineRule="exact"/>
        <w:rPr>
          <w:sz w:val="20"/>
          <w:szCs w:val="20"/>
          <w:color w:val="auto"/>
        </w:rPr>
      </w:pP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1880" w:h="15480" w:orient="portrait"/>
          <w:cols w:equalWidth="0" w:num="1">
            <w:col w:w="10240"/>
          </w:cols>
          <w:pgMar w:left="820" w:top="670" w:right="820" w:bottom="0" w:gutter="0" w:footer="0" w:header="0"/>
          <w:type w:val="continuous"/>
        </w:sectPr>
      </w:pPr>
    </w:p>
    <w:bookmarkStart w:id="135" w:name="page136"/>
    <w:bookmarkEnd w:id="135"/>
    <w:p>
      <w:pPr>
        <w:ind w:left="24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Stockholders of Black Diamond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Opinion on the Financial Statements</w:t>
      </w:r>
    </w:p>
    <w:p>
      <w:pPr>
        <w:spacing w:after="0" w:line="250"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color w:val="auto"/>
        </w:rPr>
        <w:t>We have audited the accompanying consolidated balance sheets of Black Diamond Therapeutics, Inc. and its subsidiary (the “Company”) as of December 31, 2025 and 2024, and the related consolidated statements of operations and comprehensive income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250" w:lineRule="exact"/>
        <w:rPr>
          <w:sz w:val="20"/>
          <w:szCs w:val="20"/>
          <w:color w:val="auto"/>
        </w:rPr>
      </w:pPr>
    </w:p>
    <w:p>
      <w:pPr>
        <w:ind w:right="80"/>
        <w:spacing w:after="0" w:line="283" w:lineRule="auto"/>
        <w:rPr>
          <w:sz w:val="20"/>
          <w:szCs w:val="20"/>
          <w:color w:val="auto"/>
        </w:rPr>
      </w:pPr>
      <w:r>
        <w:rPr>
          <w:rFonts w:ascii="Arial" w:cs="Arial" w:eastAsia="Arial" w:hAnsi="Arial"/>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right="200"/>
        <w:spacing w:after="0" w:line="280" w:lineRule="auto"/>
        <w:rPr>
          <w:sz w:val="20"/>
          <w:szCs w:val="20"/>
          <w:color w:val="auto"/>
        </w:rPr>
      </w:pPr>
      <w:r>
        <w:rPr>
          <w:rFonts w:ascii="Arial" w:cs="Arial" w:eastAsia="Arial" w:hAnsi="Arial"/>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Critical Audit Matters</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220"/>
          </w:cols>
          <w:pgMar w:left="820" w:top="67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132</w:t>
      </w:r>
    </w:p>
    <w:p>
      <w:pPr>
        <w:sectPr>
          <w:pgSz w:w="11880" w:h="15480" w:orient="portrait"/>
          <w:cols w:equalWidth="0" w:num="1">
            <w:col w:w="10220"/>
          </w:cols>
          <w:pgMar w:left="820" w:top="670" w:right="84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2"/>
          <w:szCs w:val="22"/>
          <w:b w:val="1"/>
          <w:bCs w:val="1"/>
          <w:i w:val="1"/>
          <w:iCs w:val="1"/>
          <w:color w:val="auto"/>
        </w:rPr>
        <w:t>Accrued Research and Development Costs Related to Contract Research Organization Activities</w:t>
      </w:r>
    </w:p>
    <w:p>
      <w:pPr>
        <w:spacing w:after="0" w:line="245"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As described in Notes 2 and 7 to the consolidated financial statements, research and development costs are expensed as incurred. As disclosed by management, these costs include expenses incurred under agreements with contract research organizations (CROs) that are primarily engaged in the oversight and conduct of the Company’s drug discovery efforts, preclinical studies, and clinical trials. When billing terms under these contracts do not coincide with the timing of when the work is performed, the Company is required to make estimates of outstanding obligations to those third parties as of the end of the reporting period. The accrual estimates are based on a number of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The Company recorded $7.9 million of accrued research and development costs as of December 31, 2025, a significant portion of which relates to accrued research and development costs related to CRO activities.</w:t>
      </w:r>
    </w:p>
    <w:p>
      <w:pPr>
        <w:spacing w:after="0" w:line="177" w:lineRule="exact"/>
        <w:rPr>
          <w:sz w:val="20"/>
          <w:szCs w:val="20"/>
          <w:color w:val="auto"/>
        </w:rPr>
      </w:pPr>
    </w:p>
    <w:p>
      <w:pPr>
        <w:ind w:right="260"/>
        <w:spacing w:after="0" w:line="318" w:lineRule="auto"/>
        <w:rPr>
          <w:sz w:val="20"/>
          <w:szCs w:val="20"/>
          <w:color w:val="auto"/>
        </w:rPr>
      </w:pPr>
      <w:r>
        <w:rPr>
          <w:rFonts w:ascii="Arial" w:cs="Arial" w:eastAsia="Arial" w:hAnsi="Arial"/>
          <w:sz w:val="19"/>
          <w:szCs w:val="19"/>
          <w:color w:val="auto"/>
        </w:rPr>
        <w:t>The principal consideration for our determination that performing procedures relating to accrued research and development costs related to CRO activities is a critical audit matter is a high degree of auditor effort in performing procedures related to the Company’s accrued research and development costs related to CRO activities.</w:t>
      </w:r>
    </w:p>
    <w:p>
      <w:pPr>
        <w:spacing w:after="0" w:line="143"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 procedures included, among others (i) evaluating the appropriateness of the method used by management to calculate the accrued research and development costs related to CRO activities; and (ii) testing the accrued research and development costs on a sample basis by obtaining and inspecting source documents, such as contracts, purchase orders, invoices and payments, and recalculating the accrued research and development costs.</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PricewaterhouseCoopers LLP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color w:val="auto"/>
        </w:rPr>
        <w:t>Boston, Massachusetts</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20"/>
          <w:szCs w:val="20"/>
          <w:color w:val="auto"/>
        </w:rPr>
        <w:t>March 16, 2026</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2019.</w:t>
      </w:r>
    </w:p>
    <w:p>
      <w:pPr>
        <w:sectPr>
          <w:pgSz w:w="11880" w:h="15480" w:orient="portrait"/>
          <w:cols w:equalWidth="0" w:num="1">
            <w:col w:w="10240"/>
          </w:cols>
          <w:pgMar w:left="820" w:top="6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133</w:t>
      </w:r>
    </w:p>
    <w:p>
      <w:pPr>
        <w:sectPr>
          <w:pgSz w:w="11880" w:h="15480" w:orient="portrait"/>
          <w:cols w:equalWidth="0" w:num="1">
            <w:col w:w="10240"/>
          </w:cols>
          <w:pgMar w:left="820" w:top="674" w:right="820"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84"/>
        </w:trPr>
        <w:tc>
          <w:tcPr>
            <w:tcW w:w="7560" w:type="dxa"/>
            <w:vAlign w:val="bottom"/>
          </w:tcPr>
          <w:p>
            <w:pPr>
              <w:ind w:left="3500"/>
              <w:spacing w:after="0"/>
              <w:rPr>
                <w:sz w:val="20"/>
                <w:szCs w:val="20"/>
                <w:color w:val="auto"/>
              </w:rPr>
            </w:pPr>
            <w:r>
              <w:rPr>
                <w:rFonts w:ascii="Arial" w:cs="Arial" w:eastAsia="Arial" w:hAnsi="Arial"/>
                <w:sz w:val="22"/>
                <w:szCs w:val="22"/>
                <w:b w:val="1"/>
                <w:bCs w:val="1"/>
                <w:color w:val="auto"/>
              </w:rPr>
              <w:t>Black Diamond Therapeutics, Inc.</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560" w:type="dxa"/>
            <w:vAlign w:val="bottom"/>
          </w:tcPr>
          <w:p>
            <w:pPr>
              <w:ind w:left="3740"/>
              <w:spacing w:after="0"/>
              <w:rPr>
                <w:sz w:val="20"/>
                <w:szCs w:val="20"/>
                <w:color w:val="auto"/>
              </w:rPr>
            </w:pPr>
            <w:r>
              <w:rPr>
                <w:rFonts w:ascii="Arial" w:cs="Arial" w:eastAsia="Arial" w:hAnsi="Arial"/>
                <w:sz w:val="22"/>
                <w:szCs w:val="22"/>
                <w:b w:val="1"/>
                <w:bCs w:val="1"/>
                <w:color w:val="auto"/>
              </w:rPr>
              <w:t>Consolidated Balance Sheets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560" w:type="dxa"/>
            <w:vAlign w:val="bottom"/>
          </w:tcPr>
          <w:p>
            <w:pPr>
              <w:ind w:left="2880"/>
              <w:spacing w:after="0"/>
              <w:rPr>
                <w:sz w:val="20"/>
                <w:szCs w:val="20"/>
                <w:color w:val="auto"/>
              </w:rPr>
            </w:pPr>
            <w:r>
              <w:rPr>
                <w:rFonts w:ascii="Arial" w:cs="Arial" w:eastAsia="Arial" w:hAnsi="Arial"/>
                <w:sz w:val="22"/>
                <w:szCs w:val="22"/>
                <w:b w:val="1"/>
                <w:bCs w:val="1"/>
                <w:color w:val="auto"/>
                <w:w w:val="93"/>
              </w:rPr>
              <w:t>(in thousands, except share and per share data)</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89"/>
        </w:trPr>
        <w:tc>
          <w:tcPr>
            <w:tcW w:w="7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c>
          <w:tcPr>
            <w:tcW w:w="0" w:type="dxa"/>
            <w:vAlign w:val="bottom"/>
          </w:tcPr>
          <w:p>
            <w:pPr>
              <w:spacing w:after="0"/>
              <w:rPr>
                <w:sz w:val="1"/>
                <w:szCs w:val="1"/>
                <w:color w:val="auto"/>
              </w:rPr>
            </w:pPr>
          </w:p>
        </w:tc>
      </w:tr>
      <w:tr>
        <w:trPr>
          <w:trHeight w:val="331"/>
        </w:trPr>
        <w:tc>
          <w:tcPr>
            <w:tcW w:w="75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Current 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Cash and cash equivalents</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20,990</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36,437</w:t>
            </w:r>
          </w:p>
        </w:tc>
        <w:tc>
          <w:tcPr>
            <w:tcW w:w="0" w:type="dxa"/>
            <w:vAlign w:val="bottom"/>
          </w:tcPr>
          <w:p>
            <w:pPr>
              <w:spacing w:after="0"/>
              <w:rPr>
                <w:sz w:val="1"/>
                <w:szCs w:val="1"/>
                <w:color w:val="auto"/>
              </w:rPr>
            </w:pP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Investments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107,662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62,138</w:t>
            </w:r>
          </w:p>
        </w:tc>
        <w:tc>
          <w:tcPr>
            <w:tcW w:w="0" w:type="dxa"/>
            <w:vAlign w:val="bottom"/>
          </w:tcPr>
          <w:p>
            <w:pPr>
              <w:spacing w:after="0"/>
              <w:rPr>
                <w:sz w:val="1"/>
                <w:szCs w:val="1"/>
                <w:color w:val="auto"/>
              </w:rPr>
            </w:pPr>
          </w:p>
        </w:tc>
      </w:tr>
      <w:tr>
        <w:trPr>
          <w:trHeight w:val="311"/>
        </w:trPr>
        <w:tc>
          <w:tcPr>
            <w:tcW w:w="7560" w:type="dxa"/>
            <w:vAlign w:val="bottom"/>
          </w:tcPr>
          <w:p>
            <w:pPr>
              <w:ind w:left="240"/>
              <w:spacing w:after="0"/>
              <w:rPr>
                <w:sz w:val="20"/>
                <w:szCs w:val="20"/>
                <w:color w:val="auto"/>
              </w:rPr>
            </w:pPr>
            <w:r>
              <w:rPr>
                <w:rFonts w:ascii="Arial" w:cs="Arial" w:eastAsia="Arial" w:hAnsi="Arial"/>
                <w:sz w:val="22"/>
                <w:szCs w:val="22"/>
                <w:color w:val="auto"/>
              </w:rPr>
              <w:t>Prepaid expenses and other current assets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2,601</w:t>
            </w:r>
          </w:p>
        </w:tc>
        <w:tc>
          <w:tcPr>
            <w:tcW w:w="0" w:type="dxa"/>
            <w:vAlign w:val="bottom"/>
          </w:tcPr>
          <w:p>
            <w:pPr>
              <w:spacing w:after="0"/>
              <w:rPr>
                <w:sz w:val="1"/>
                <w:szCs w:val="1"/>
                <w:color w:val="auto"/>
              </w:rPr>
            </w:pPr>
          </w:p>
        </w:tc>
      </w:tr>
      <w:tr>
        <w:trPr>
          <w:trHeight w:val="287"/>
        </w:trPr>
        <w:tc>
          <w:tcPr>
            <w:tcW w:w="7560" w:type="dxa"/>
            <w:vAlign w:val="bottom"/>
          </w:tcPr>
          <w:p>
            <w:pPr>
              <w:ind w:left="460"/>
              <w:spacing w:after="0"/>
              <w:rPr>
                <w:sz w:val="20"/>
                <w:szCs w:val="20"/>
                <w:color w:val="auto"/>
              </w:rPr>
            </w:pPr>
            <w:r>
              <w:rPr>
                <w:rFonts w:ascii="Arial" w:cs="Arial" w:eastAsia="Arial" w:hAnsi="Arial"/>
                <w:sz w:val="22"/>
                <w:szCs w:val="22"/>
                <w:color w:val="auto"/>
              </w:rPr>
              <w:t>Total current assets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132,440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101,176</w:t>
            </w:r>
          </w:p>
        </w:tc>
        <w:tc>
          <w:tcPr>
            <w:tcW w:w="0" w:type="dxa"/>
            <w:vAlign w:val="bottom"/>
          </w:tcPr>
          <w:p>
            <w:pPr>
              <w:spacing w:after="0"/>
              <w:rPr>
                <w:sz w:val="1"/>
                <w:szCs w:val="1"/>
                <w:color w:val="auto"/>
              </w:rPr>
            </w:pP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1,387</w:t>
            </w:r>
          </w:p>
        </w:tc>
        <w:tc>
          <w:tcPr>
            <w:tcW w:w="0" w:type="dxa"/>
            <w:vAlign w:val="bottom"/>
          </w:tcPr>
          <w:p>
            <w:pPr>
              <w:spacing w:after="0"/>
              <w:rPr>
                <w:sz w:val="1"/>
                <w:szCs w:val="1"/>
                <w:color w:val="auto"/>
              </w:rPr>
            </w:pP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Restricted cash</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829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819</w:t>
            </w:r>
          </w:p>
        </w:tc>
        <w:tc>
          <w:tcPr>
            <w:tcW w:w="0" w:type="dxa"/>
            <w:vAlign w:val="bottom"/>
          </w:tcPr>
          <w:p>
            <w:pPr>
              <w:spacing w:after="0"/>
              <w:rPr>
                <w:sz w:val="1"/>
                <w:szCs w:val="1"/>
                <w:color w:val="auto"/>
              </w:rPr>
            </w:pP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Right-of-use assets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9,303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19,009</w:t>
            </w:r>
          </w:p>
        </w:tc>
        <w:tc>
          <w:tcPr>
            <w:tcW w:w="0" w:type="dxa"/>
            <w:vAlign w:val="bottom"/>
          </w:tcPr>
          <w:p>
            <w:pPr>
              <w:spacing w:after="0"/>
              <w:rPr>
                <w:sz w:val="1"/>
                <w:szCs w:val="1"/>
                <w:color w:val="auto"/>
              </w:rPr>
            </w:pPr>
          </w:p>
        </w:tc>
      </w:tr>
      <w:tr>
        <w:trPr>
          <w:trHeight w:val="311"/>
        </w:trPr>
        <w:tc>
          <w:tcPr>
            <w:tcW w:w="756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249</w:t>
            </w:r>
          </w:p>
        </w:tc>
        <w:tc>
          <w:tcPr>
            <w:tcW w:w="0" w:type="dxa"/>
            <w:vAlign w:val="bottom"/>
          </w:tcPr>
          <w:p>
            <w:pPr>
              <w:spacing w:after="0"/>
              <w:rPr>
                <w:sz w:val="1"/>
                <w:szCs w:val="1"/>
                <w:color w:val="auto"/>
              </w:rPr>
            </w:pPr>
          </w:p>
        </w:tc>
      </w:tr>
      <w:tr>
        <w:trPr>
          <w:trHeight w:val="313"/>
        </w:trPr>
        <w:tc>
          <w:tcPr>
            <w:tcW w:w="7560" w:type="dxa"/>
            <w:vAlign w:val="bottom"/>
          </w:tcPr>
          <w:p>
            <w:pPr>
              <w:ind w:left="460"/>
              <w:spacing w:after="0"/>
              <w:rPr>
                <w:sz w:val="20"/>
                <w:szCs w:val="20"/>
                <w:color w:val="auto"/>
              </w:rPr>
            </w:pPr>
            <w:r>
              <w:rPr>
                <w:rFonts w:ascii="Arial" w:cs="Arial" w:eastAsia="Arial" w:hAnsi="Arial"/>
                <w:sz w:val="22"/>
                <w:szCs w:val="22"/>
                <w:color w:val="auto"/>
              </w:rPr>
              <w:t>Total assets</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143,010</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122,640</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Current liabilities: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Accounts payable</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579</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4,007</w:t>
            </w:r>
          </w:p>
        </w:tc>
        <w:tc>
          <w:tcPr>
            <w:tcW w:w="0" w:type="dxa"/>
            <w:vAlign w:val="bottom"/>
          </w:tcPr>
          <w:p>
            <w:pPr>
              <w:spacing w:after="0"/>
              <w:rPr>
                <w:sz w:val="1"/>
                <w:szCs w:val="1"/>
                <w:color w:val="auto"/>
              </w:rPr>
            </w:pPr>
          </w:p>
        </w:tc>
      </w:tr>
      <w:tr>
        <w:trPr>
          <w:trHeight w:val="311"/>
        </w:trPr>
        <w:tc>
          <w:tcPr>
            <w:tcW w:w="7560" w:type="dxa"/>
            <w:vAlign w:val="bottom"/>
          </w:tcPr>
          <w:p>
            <w:pPr>
              <w:ind w:left="240"/>
              <w:spacing w:after="0"/>
              <w:rPr>
                <w:sz w:val="20"/>
                <w:szCs w:val="20"/>
                <w:color w:val="auto"/>
              </w:rPr>
            </w:pPr>
            <w:r>
              <w:rPr>
                <w:rFonts w:ascii="Arial" w:cs="Arial" w:eastAsia="Arial" w:hAnsi="Arial"/>
                <w:sz w:val="22"/>
                <w:szCs w:val="22"/>
                <w:color w:val="auto"/>
              </w:rPr>
              <w:t>Accrued expenses and other current liabilities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15,152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16,566</w:t>
            </w:r>
          </w:p>
        </w:tc>
        <w:tc>
          <w:tcPr>
            <w:tcW w:w="0" w:type="dxa"/>
            <w:vAlign w:val="bottom"/>
          </w:tcPr>
          <w:p>
            <w:pPr>
              <w:spacing w:after="0"/>
              <w:rPr>
                <w:sz w:val="1"/>
                <w:szCs w:val="1"/>
                <w:color w:val="auto"/>
              </w:rPr>
            </w:pPr>
          </w:p>
        </w:tc>
      </w:tr>
      <w:tr>
        <w:trPr>
          <w:trHeight w:val="287"/>
        </w:trPr>
        <w:tc>
          <w:tcPr>
            <w:tcW w:w="7560" w:type="dxa"/>
            <w:vAlign w:val="bottom"/>
          </w:tcPr>
          <w:p>
            <w:pPr>
              <w:ind w:left="460"/>
              <w:spacing w:after="0"/>
              <w:rPr>
                <w:sz w:val="20"/>
                <w:szCs w:val="20"/>
                <w:color w:val="auto"/>
              </w:rPr>
            </w:pPr>
            <w:r>
              <w:rPr>
                <w:rFonts w:ascii="Arial" w:cs="Arial" w:eastAsia="Arial" w:hAnsi="Arial"/>
                <w:sz w:val="22"/>
                <w:szCs w:val="22"/>
                <w:color w:val="auto"/>
              </w:rPr>
              <w:t>Total current liabilities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15,731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20,573</w:t>
            </w:r>
          </w:p>
        </w:tc>
        <w:tc>
          <w:tcPr>
            <w:tcW w:w="0" w:type="dxa"/>
            <w:vAlign w:val="bottom"/>
          </w:tcPr>
          <w:p>
            <w:pPr>
              <w:spacing w:after="0"/>
              <w:rPr>
                <w:sz w:val="1"/>
                <w:szCs w:val="1"/>
                <w:color w:val="auto"/>
              </w:rPr>
            </w:pPr>
          </w:p>
        </w:tc>
      </w:tr>
      <w:tr>
        <w:trPr>
          <w:trHeight w:val="311"/>
        </w:trPr>
        <w:tc>
          <w:tcPr>
            <w:tcW w:w="7560" w:type="dxa"/>
            <w:vAlign w:val="bottom"/>
          </w:tcPr>
          <w:p>
            <w:pPr>
              <w:spacing w:after="0"/>
              <w:rPr>
                <w:sz w:val="20"/>
                <w:szCs w:val="20"/>
                <w:color w:val="auto"/>
              </w:rPr>
            </w:pPr>
            <w:r>
              <w:rPr>
                <w:rFonts w:ascii="Arial" w:cs="Arial" w:eastAsia="Arial" w:hAnsi="Arial"/>
                <w:sz w:val="22"/>
                <w:szCs w:val="22"/>
                <w:color w:val="auto"/>
              </w:rPr>
              <w:t>Non-current operating lease liability</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15,068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18,782</w:t>
            </w:r>
          </w:p>
        </w:tc>
        <w:tc>
          <w:tcPr>
            <w:tcW w:w="0" w:type="dxa"/>
            <w:vAlign w:val="bottom"/>
          </w:tcPr>
          <w:p>
            <w:pPr>
              <w:spacing w:after="0"/>
              <w:rPr>
                <w:sz w:val="1"/>
                <w:szCs w:val="1"/>
                <w:color w:val="auto"/>
              </w:rPr>
            </w:pPr>
          </w:p>
        </w:tc>
      </w:tr>
      <w:tr>
        <w:trPr>
          <w:trHeight w:val="289"/>
        </w:trPr>
        <w:tc>
          <w:tcPr>
            <w:tcW w:w="7560" w:type="dxa"/>
            <w:vAlign w:val="bottom"/>
          </w:tcPr>
          <w:p>
            <w:pPr>
              <w:ind w:left="460"/>
              <w:spacing w:after="0"/>
              <w:rPr>
                <w:sz w:val="20"/>
                <w:szCs w:val="20"/>
                <w:color w:val="auto"/>
              </w:rPr>
            </w:pPr>
            <w:r>
              <w:rPr>
                <w:rFonts w:ascii="Arial" w:cs="Arial" w:eastAsia="Arial" w:hAnsi="Arial"/>
                <w:sz w:val="22"/>
                <w:szCs w:val="22"/>
                <w:color w:val="auto"/>
              </w:rPr>
              <w:t>Total liabilities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30,799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39,355</w:t>
            </w:r>
          </w:p>
        </w:tc>
        <w:tc>
          <w:tcPr>
            <w:tcW w:w="0" w:type="dxa"/>
            <w:vAlign w:val="bottom"/>
          </w:tcPr>
          <w:p>
            <w:pPr>
              <w:spacing w:after="0"/>
              <w:rPr>
                <w:sz w:val="1"/>
                <w:szCs w:val="1"/>
                <w:color w:val="auto"/>
              </w:rPr>
            </w:pPr>
          </w:p>
        </w:tc>
      </w:tr>
      <w:tr>
        <w:trPr>
          <w:trHeight w:val="287"/>
        </w:trPr>
        <w:tc>
          <w:tcPr>
            <w:tcW w:w="7560" w:type="dxa"/>
            <w:vAlign w:val="bottom"/>
          </w:tcPr>
          <w:p>
            <w:pPr>
              <w:spacing w:after="0"/>
              <w:rPr>
                <w:sz w:val="20"/>
                <w:szCs w:val="20"/>
                <w:color w:val="auto"/>
              </w:rPr>
            </w:pPr>
            <w:r>
              <w:rPr>
                <w:rFonts w:ascii="Arial" w:cs="Arial" w:eastAsia="Arial" w:hAnsi="Arial"/>
                <w:sz w:val="22"/>
                <w:szCs w:val="22"/>
                <w:color w:val="auto"/>
              </w:rPr>
              <w:t>Commitments and contingencies (Note 12)</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Stockholders' equity:</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560" w:type="dxa"/>
            <w:vAlign w:val="bottom"/>
          </w:tcPr>
          <w:p>
            <w:pPr>
              <w:ind w:left="180"/>
              <w:spacing w:after="0"/>
              <w:rPr>
                <w:sz w:val="20"/>
                <w:szCs w:val="20"/>
                <w:color w:val="auto"/>
              </w:rPr>
            </w:pPr>
            <w:r>
              <w:rPr>
                <w:rFonts w:ascii="Arial" w:cs="Arial" w:eastAsia="Arial" w:hAnsi="Arial"/>
                <w:sz w:val="22"/>
                <w:szCs w:val="22"/>
                <w:color w:val="auto"/>
                <w:w w:val="96"/>
              </w:rPr>
              <w:t>Preferred stock, $0.0001 par value; 10,000,000 shares and 10,000,000 shares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40"/>
              <w:spacing w:after="0" w:line="216" w:lineRule="exact"/>
              <w:rPr>
                <w:sz w:val="20"/>
                <w:szCs w:val="20"/>
                <w:color w:val="auto"/>
              </w:rPr>
            </w:pPr>
            <w:r>
              <w:rPr>
                <w:rFonts w:ascii="Arial" w:cs="Arial" w:eastAsia="Arial" w:hAnsi="Arial"/>
                <w:sz w:val="22"/>
                <w:szCs w:val="22"/>
                <w:color w:val="auto"/>
                <w:w w:val="95"/>
              </w:rPr>
              <w:t>authorized at December 31, 2025 and 2024, respectively; no shares issued or</w:t>
            </w: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0"/>
        </w:trPr>
        <w:tc>
          <w:tcPr>
            <w:tcW w:w="7560" w:type="dxa"/>
            <w:vAlign w:val="bottom"/>
          </w:tcPr>
          <w:p>
            <w:pPr>
              <w:ind w:left="340"/>
              <w:spacing w:after="0"/>
              <w:rPr>
                <w:sz w:val="20"/>
                <w:szCs w:val="20"/>
                <w:color w:val="auto"/>
              </w:rPr>
            </w:pPr>
            <w:r>
              <w:rPr>
                <w:rFonts w:ascii="Arial" w:cs="Arial" w:eastAsia="Arial" w:hAnsi="Arial"/>
                <w:sz w:val="22"/>
                <w:szCs w:val="22"/>
                <w:color w:val="auto"/>
              </w:rPr>
              <w:t>outstanding at December 31, 2025 and 2024</w:t>
            </w: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560" w:type="dxa"/>
            <w:vAlign w:val="bottom"/>
          </w:tcPr>
          <w:p>
            <w:pPr>
              <w:ind w:left="180"/>
              <w:spacing w:after="0"/>
              <w:rPr>
                <w:sz w:val="20"/>
                <w:szCs w:val="20"/>
                <w:color w:val="auto"/>
              </w:rPr>
            </w:pPr>
            <w:r>
              <w:rPr>
                <w:rFonts w:ascii="Arial" w:cs="Arial" w:eastAsia="Arial" w:hAnsi="Arial"/>
                <w:sz w:val="22"/>
                <w:szCs w:val="22"/>
                <w:color w:val="auto"/>
                <w:w w:val="89"/>
              </w:rPr>
              <w:t>Common stock; $0.0001 par value; 500,000,000 shares authorized at December 31,</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40"/>
              <w:spacing w:after="0" w:line="216" w:lineRule="exact"/>
              <w:rPr>
                <w:sz w:val="20"/>
                <w:szCs w:val="20"/>
                <w:color w:val="auto"/>
              </w:rPr>
            </w:pPr>
            <w:r>
              <w:rPr>
                <w:rFonts w:ascii="Arial" w:cs="Arial" w:eastAsia="Arial" w:hAnsi="Arial"/>
                <w:sz w:val="22"/>
                <w:szCs w:val="22"/>
                <w:color w:val="auto"/>
                <w:w w:val="87"/>
              </w:rPr>
              <w:t>2025 and 500,000,000 shares authorized at December 31, 2024; 57,138,057 shares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40"/>
              <w:spacing w:after="0" w:line="216" w:lineRule="exact"/>
              <w:rPr>
                <w:sz w:val="20"/>
                <w:szCs w:val="20"/>
                <w:color w:val="auto"/>
              </w:rPr>
            </w:pPr>
            <w:r>
              <w:rPr>
                <w:rFonts w:ascii="Arial" w:cs="Arial" w:eastAsia="Arial" w:hAnsi="Arial"/>
                <w:sz w:val="22"/>
                <w:szCs w:val="22"/>
                <w:color w:val="auto"/>
                <w:w w:val="90"/>
              </w:rPr>
              <w:t>issued and outstanding at December 31, 2025 and 56,644,655 shares issued and</w:t>
            </w: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80"/>
        </w:trPr>
        <w:tc>
          <w:tcPr>
            <w:tcW w:w="7560" w:type="dxa"/>
            <w:vAlign w:val="bottom"/>
          </w:tcPr>
          <w:p>
            <w:pPr>
              <w:ind w:left="340"/>
              <w:spacing w:after="0"/>
              <w:rPr>
                <w:sz w:val="20"/>
                <w:szCs w:val="20"/>
                <w:color w:val="auto"/>
              </w:rPr>
            </w:pPr>
            <w:r>
              <w:rPr>
                <w:rFonts w:ascii="Arial" w:cs="Arial" w:eastAsia="Arial" w:hAnsi="Arial"/>
                <w:sz w:val="22"/>
                <w:szCs w:val="22"/>
                <w:color w:val="auto"/>
              </w:rPr>
              <w:t>outstanding at December 31, 2024</w:t>
            </w: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560" w:type="dxa"/>
            <w:vAlign w:val="bottom"/>
          </w:tcPr>
          <w:p>
            <w:pPr>
              <w:ind w:left="240"/>
              <w:spacing w:after="0"/>
              <w:rPr>
                <w:sz w:val="20"/>
                <w:szCs w:val="20"/>
                <w:color w:val="auto"/>
              </w:rPr>
            </w:pPr>
            <w:r>
              <w:rPr>
                <w:rFonts w:ascii="Arial" w:cs="Arial" w:eastAsia="Arial" w:hAnsi="Arial"/>
                <w:sz w:val="22"/>
                <w:szCs w:val="22"/>
                <w:color w:val="auto"/>
              </w:rPr>
              <w:t>Additional paid-in capital</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576,842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570,361</w:t>
            </w:r>
          </w:p>
        </w:tc>
        <w:tc>
          <w:tcPr>
            <w:tcW w:w="0" w:type="dxa"/>
            <w:vAlign w:val="bottom"/>
          </w:tcPr>
          <w:p>
            <w:pPr>
              <w:spacing w:after="0"/>
              <w:rPr>
                <w:sz w:val="1"/>
                <w:szCs w:val="1"/>
                <w:color w:val="auto"/>
              </w:rPr>
            </w:pP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Accumulated other comprehensive income (loss)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311"/>
        </w:trPr>
        <w:tc>
          <w:tcPr>
            <w:tcW w:w="7560" w:type="dxa"/>
            <w:vAlign w:val="bottom"/>
          </w:tcPr>
          <w:p>
            <w:pPr>
              <w:ind w:left="240"/>
              <w:spacing w:after="0"/>
              <w:rPr>
                <w:sz w:val="20"/>
                <w:szCs w:val="20"/>
                <w:color w:val="auto"/>
              </w:rPr>
            </w:pPr>
            <w:r>
              <w:rPr>
                <w:rFonts w:ascii="Arial" w:cs="Arial" w:eastAsia="Arial" w:hAnsi="Arial"/>
                <w:sz w:val="22"/>
                <w:szCs w:val="22"/>
                <w:color w:val="auto"/>
              </w:rPr>
              <w:t>Accumulated deficit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(464,740)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(487,107)</w:t>
            </w:r>
          </w:p>
        </w:tc>
        <w:tc>
          <w:tcPr>
            <w:tcW w:w="0" w:type="dxa"/>
            <w:vAlign w:val="bottom"/>
          </w:tcPr>
          <w:p>
            <w:pPr>
              <w:spacing w:after="0"/>
              <w:rPr>
                <w:sz w:val="1"/>
                <w:szCs w:val="1"/>
                <w:color w:val="auto"/>
              </w:rPr>
            </w:pPr>
          </w:p>
        </w:tc>
      </w:tr>
      <w:tr>
        <w:trPr>
          <w:trHeight w:val="289"/>
        </w:trPr>
        <w:tc>
          <w:tcPr>
            <w:tcW w:w="7560" w:type="dxa"/>
            <w:vAlign w:val="bottom"/>
          </w:tcPr>
          <w:p>
            <w:pPr>
              <w:ind w:left="240"/>
              <w:spacing w:after="0"/>
              <w:rPr>
                <w:sz w:val="20"/>
                <w:szCs w:val="20"/>
                <w:color w:val="auto"/>
              </w:rPr>
            </w:pPr>
            <w:r>
              <w:rPr>
                <w:rFonts w:ascii="Arial" w:cs="Arial" w:eastAsia="Arial" w:hAnsi="Arial"/>
                <w:sz w:val="22"/>
                <w:szCs w:val="22"/>
                <w:color w:val="auto"/>
              </w:rPr>
              <w:t>Total stockholders' equity</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112,211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83,285</w:t>
            </w:r>
          </w:p>
        </w:tc>
        <w:tc>
          <w:tcPr>
            <w:tcW w:w="0" w:type="dxa"/>
            <w:vAlign w:val="bottom"/>
          </w:tcPr>
          <w:p>
            <w:pPr>
              <w:spacing w:after="0"/>
              <w:rPr>
                <w:sz w:val="1"/>
                <w:szCs w:val="1"/>
                <w:color w:val="auto"/>
              </w:rPr>
            </w:pPr>
          </w:p>
        </w:tc>
      </w:tr>
      <w:tr>
        <w:trPr>
          <w:trHeight w:val="313"/>
        </w:trPr>
        <w:tc>
          <w:tcPr>
            <w:tcW w:w="756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143,010</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122,640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-6144895</wp:posOffset>
            </wp:positionV>
            <wp:extent cx="6522085" cy="6151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6522085" cy="615188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880" w:h="15480" w:orient="portrait"/>
          <w:cols w:equalWidth="0" w:num="1">
            <w:col w:w="10180"/>
          </w:cols>
          <w:pgMar w:left="88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134</w:t>
      </w:r>
    </w:p>
    <w:p>
      <w:pPr>
        <w:sectPr>
          <w:pgSz w:w="11880" w:h="15480" w:orient="portrait"/>
          <w:cols w:equalWidth="0" w:num="1">
            <w:col w:w="10180"/>
          </w:cols>
          <w:pgMar w:left="880" w:top="670" w:right="820"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84"/>
        </w:trPr>
        <w:tc>
          <w:tcPr>
            <w:tcW w:w="7580" w:type="dxa"/>
            <w:vAlign w:val="bottom"/>
          </w:tcPr>
          <w:p>
            <w:pPr>
              <w:jc w:val="center"/>
              <w:ind w:left="2432"/>
              <w:spacing w:after="0"/>
              <w:rPr>
                <w:sz w:val="20"/>
                <w:szCs w:val="20"/>
                <w:color w:val="auto"/>
              </w:rPr>
            </w:pPr>
            <w:r>
              <w:rPr>
                <w:rFonts w:ascii="Arial" w:cs="Arial" w:eastAsia="Arial" w:hAnsi="Arial"/>
                <w:sz w:val="22"/>
                <w:szCs w:val="22"/>
                <w:b w:val="1"/>
                <w:bCs w:val="1"/>
                <w:color w:val="auto"/>
                <w:w w:val="89"/>
              </w:rPr>
              <w:t>Black Diamond Therapeutics, Inc.</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8840" w:type="dxa"/>
            <w:vAlign w:val="bottom"/>
            <w:gridSpan w:val="3"/>
          </w:tcPr>
          <w:p>
            <w:pPr>
              <w:jc w:val="center"/>
              <w:ind w:left="1172"/>
              <w:spacing w:after="0"/>
              <w:rPr>
                <w:sz w:val="20"/>
                <w:szCs w:val="20"/>
                <w:color w:val="auto"/>
              </w:rPr>
            </w:pPr>
            <w:r>
              <w:rPr>
                <w:rFonts w:ascii="Arial" w:cs="Arial" w:eastAsia="Arial" w:hAnsi="Arial"/>
                <w:sz w:val="22"/>
                <w:szCs w:val="22"/>
                <w:b w:val="1"/>
                <w:bCs w:val="1"/>
                <w:color w:val="auto"/>
                <w:w w:val="87"/>
              </w:rPr>
              <w:t>Consolidated Statements of Operations and Comprehensive Income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580" w:type="dxa"/>
            <w:vAlign w:val="bottom"/>
          </w:tcPr>
          <w:p>
            <w:pPr>
              <w:jc w:val="center"/>
              <w:ind w:left="2432"/>
              <w:spacing w:after="0"/>
              <w:rPr>
                <w:sz w:val="20"/>
                <w:szCs w:val="20"/>
                <w:color w:val="auto"/>
              </w:rPr>
            </w:pPr>
            <w:r>
              <w:rPr>
                <w:rFonts w:ascii="Arial" w:cs="Arial" w:eastAsia="Arial" w:hAnsi="Arial"/>
                <w:sz w:val="22"/>
                <w:szCs w:val="22"/>
                <w:b w:val="1"/>
                <w:bCs w:val="1"/>
                <w:color w:val="auto"/>
                <w:w w:val="87"/>
              </w:rPr>
              <w:t>(in thousands, except share and per share data)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8"/>
        </w:trPr>
        <w:tc>
          <w:tcPr>
            <w:tcW w:w="7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22"/>
                <w:szCs w:val="22"/>
                <w:color w:val="auto"/>
                <w:w w:val="86"/>
              </w:rPr>
              <w:t>Year Ended December 31,</w:t>
            </w:r>
          </w:p>
        </w:tc>
      </w:tr>
      <w:tr>
        <w:trPr>
          <w:trHeight w:val="289"/>
        </w:trPr>
        <w:tc>
          <w:tcPr>
            <w:tcW w:w="7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7"/>
        </w:trPr>
        <w:tc>
          <w:tcPr>
            <w:tcW w:w="7580" w:type="dxa"/>
            <w:vAlign w:val="bottom"/>
          </w:tcPr>
          <w:p>
            <w:pPr>
              <w:spacing w:after="0"/>
              <w:rPr>
                <w:sz w:val="20"/>
                <w:szCs w:val="20"/>
                <w:color w:val="auto"/>
              </w:rPr>
            </w:pPr>
            <w:r>
              <w:rPr>
                <w:rFonts w:ascii="Arial" w:cs="Arial" w:eastAsia="Arial" w:hAnsi="Arial"/>
                <w:sz w:val="22"/>
                <w:szCs w:val="22"/>
                <w:color w:val="auto"/>
              </w:rPr>
              <w:t>License revenue</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70,000</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9"/>
        </w:trPr>
        <w:tc>
          <w:tcPr>
            <w:tcW w:w="7580" w:type="dxa"/>
            <w:vAlign w:val="bottom"/>
          </w:tcPr>
          <w:p>
            <w:pPr>
              <w:spacing w:after="0"/>
              <w:rPr>
                <w:sz w:val="20"/>
                <w:szCs w:val="20"/>
                <w:color w:val="auto"/>
              </w:rPr>
            </w:pPr>
            <w:r>
              <w:rPr>
                <w:rFonts w:ascii="Arial" w:cs="Arial" w:eastAsia="Arial" w:hAnsi="Arial"/>
                <w:sz w:val="22"/>
                <w:szCs w:val="22"/>
                <w:color w:val="auto"/>
              </w:rPr>
              <w:t>Operating expenses: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9"/>
        </w:trPr>
        <w:tc>
          <w:tcPr>
            <w:tcW w:w="758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33,558</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51,312</w:t>
            </w:r>
          </w:p>
        </w:tc>
      </w:tr>
      <w:tr>
        <w:trPr>
          <w:trHeight w:val="309"/>
        </w:trPr>
        <w:tc>
          <w:tcPr>
            <w:tcW w:w="7580" w:type="dxa"/>
            <w:vAlign w:val="bottom"/>
          </w:tcPr>
          <w:p>
            <w:pPr>
              <w:ind w:left="120"/>
              <w:spacing w:after="0"/>
              <w:rPr>
                <w:sz w:val="20"/>
                <w:szCs w:val="20"/>
                <w:color w:val="auto"/>
              </w:rPr>
            </w:pPr>
            <w:r>
              <w:rPr>
                <w:rFonts w:ascii="Arial" w:cs="Arial" w:eastAsia="Arial" w:hAnsi="Arial"/>
                <w:sz w:val="22"/>
                <w:szCs w:val="22"/>
                <w:color w:val="auto"/>
              </w:rPr>
              <w:t>General and administrative</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16,572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27,469</w:t>
            </w:r>
          </w:p>
        </w:tc>
      </w:tr>
      <w:tr>
        <w:trPr>
          <w:trHeight w:val="355"/>
        </w:trPr>
        <w:tc>
          <w:tcPr>
            <w:tcW w:w="7580" w:type="dxa"/>
            <w:vAlign w:val="bottom"/>
          </w:tcPr>
          <w:p>
            <w:pPr>
              <w:ind w:left="120"/>
              <w:spacing w:after="0"/>
              <w:rPr>
                <w:sz w:val="20"/>
                <w:szCs w:val="20"/>
                <w:color w:val="auto"/>
              </w:rPr>
            </w:pPr>
            <w:r>
              <w:rPr>
                <w:rFonts w:ascii="Arial" w:cs="Arial" w:eastAsia="Arial" w:hAnsi="Arial"/>
                <w:sz w:val="22"/>
                <w:szCs w:val="22"/>
                <w:color w:val="auto"/>
              </w:rPr>
              <w:t>Impairment of right-of-use assets and property and equipment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7,348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7580" w:type="dxa"/>
            <w:vAlign w:val="bottom"/>
          </w:tcPr>
          <w:p>
            <w:pPr>
              <w:spacing w:after="0"/>
              <w:rPr>
                <w:sz w:val="20"/>
                <w:szCs w:val="20"/>
                <w:color w:val="auto"/>
              </w:rPr>
            </w:pPr>
            <w:r>
              <w:rPr>
                <w:rFonts w:ascii="Arial" w:cs="Arial" w:eastAsia="Arial" w:hAnsi="Arial"/>
                <w:sz w:val="22"/>
                <w:szCs w:val="22"/>
                <w:color w:val="auto"/>
              </w:rPr>
              <w:t>Total operating expenses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57,478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78,781</w:t>
            </w:r>
          </w:p>
        </w:tc>
      </w:tr>
      <w:tr>
        <w:trPr>
          <w:trHeight w:val="331"/>
        </w:trPr>
        <w:tc>
          <w:tcPr>
            <w:tcW w:w="7580" w:type="dxa"/>
            <w:vAlign w:val="bottom"/>
          </w:tcPr>
          <w:p>
            <w:pPr>
              <w:spacing w:after="0"/>
              <w:rPr>
                <w:sz w:val="20"/>
                <w:szCs w:val="20"/>
                <w:color w:val="auto"/>
              </w:rPr>
            </w:pPr>
            <w:r>
              <w:rPr>
                <w:rFonts w:ascii="Arial" w:cs="Arial" w:eastAsia="Arial" w:hAnsi="Arial"/>
                <w:sz w:val="22"/>
                <w:szCs w:val="22"/>
                <w:color w:val="auto"/>
              </w:rPr>
              <w:t>Income (loss) from operations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12,522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(78,781)</w:t>
            </w:r>
          </w:p>
        </w:tc>
      </w:tr>
      <w:tr>
        <w:trPr>
          <w:trHeight w:val="353"/>
        </w:trPr>
        <w:tc>
          <w:tcPr>
            <w:tcW w:w="7580" w:type="dxa"/>
            <w:vAlign w:val="bottom"/>
          </w:tcPr>
          <w:p>
            <w:pPr>
              <w:spacing w:after="0"/>
              <w:rPr>
                <w:sz w:val="20"/>
                <w:szCs w:val="20"/>
                <w:color w:val="auto"/>
              </w:rPr>
            </w:pPr>
            <w:r>
              <w:rPr>
                <w:rFonts w:ascii="Arial" w:cs="Arial" w:eastAsia="Arial" w:hAnsi="Arial"/>
                <w:sz w:val="22"/>
                <w:szCs w:val="22"/>
                <w:color w:val="auto"/>
              </w:rPr>
              <w:t>Other income (expense):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9"/>
        </w:trPr>
        <w:tc>
          <w:tcPr>
            <w:tcW w:w="7580" w:type="dxa"/>
            <w:vAlign w:val="bottom"/>
          </w:tcPr>
          <w:p>
            <w:pPr>
              <w:ind w:left="120"/>
              <w:spacing w:after="0"/>
              <w:rPr>
                <w:sz w:val="20"/>
                <w:szCs w:val="20"/>
                <w:color w:val="auto"/>
              </w:rPr>
            </w:pPr>
            <w:r>
              <w:rPr>
                <w:rFonts w:ascii="Arial" w:cs="Arial" w:eastAsia="Arial" w:hAnsi="Arial"/>
                <w:sz w:val="22"/>
                <w:szCs w:val="22"/>
                <w:color w:val="auto"/>
              </w:rPr>
              <w:t>Interest income</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4,061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2,182</w:t>
            </w:r>
          </w:p>
        </w:tc>
      </w:tr>
      <w:tr>
        <w:trPr>
          <w:trHeight w:val="311"/>
        </w:trPr>
        <w:tc>
          <w:tcPr>
            <w:tcW w:w="7580" w:type="dxa"/>
            <w:vAlign w:val="bottom"/>
          </w:tcPr>
          <w:p>
            <w:pPr>
              <w:ind w:left="120"/>
              <w:spacing w:after="0"/>
              <w:rPr>
                <w:sz w:val="20"/>
                <w:szCs w:val="20"/>
                <w:color w:val="auto"/>
              </w:rPr>
            </w:pPr>
            <w:r>
              <w:rPr>
                <w:rFonts w:ascii="Arial" w:cs="Arial" w:eastAsia="Arial" w:hAnsi="Arial"/>
                <w:sz w:val="22"/>
                <w:szCs w:val="22"/>
                <w:color w:val="auto"/>
              </w:rPr>
              <w:t>Other income (expense)</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5,784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6,923</w:t>
            </w:r>
          </w:p>
        </w:tc>
      </w:tr>
      <w:tr>
        <w:trPr>
          <w:trHeight w:val="333"/>
        </w:trPr>
        <w:tc>
          <w:tcPr>
            <w:tcW w:w="7580" w:type="dxa"/>
            <w:vAlign w:val="bottom"/>
          </w:tcPr>
          <w:p>
            <w:pPr>
              <w:spacing w:after="0"/>
              <w:rPr>
                <w:sz w:val="20"/>
                <w:szCs w:val="20"/>
                <w:color w:val="auto"/>
              </w:rPr>
            </w:pPr>
            <w:r>
              <w:rPr>
                <w:rFonts w:ascii="Arial" w:cs="Arial" w:eastAsia="Arial" w:hAnsi="Arial"/>
                <w:sz w:val="22"/>
                <w:szCs w:val="22"/>
                <w:color w:val="auto"/>
              </w:rPr>
              <w:t>Total other income (expense), net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9,845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9,105</w:t>
            </w:r>
          </w:p>
        </w:tc>
      </w:tr>
      <w:tr>
        <w:trPr>
          <w:trHeight w:val="313"/>
        </w:trPr>
        <w:tc>
          <w:tcPr>
            <w:tcW w:w="7580" w:type="dxa"/>
            <w:vAlign w:val="bottom"/>
          </w:tcPr>
          <w:p>
            <w:pPr>
              <w:spacing w:after="0"/>
              <w:rPr>
                <w:sz w:val="20"/>
                <w:szCs w:val="20"/>
                <w:color w:val="auto"/>
              </w:rPr>
            </w:pPr>
            <w:r>
              <w:rPr>
                <w:rFonts w:ascii="Arial" w:cs="Arial" w:eastAsia="Arial" w:hAnsi="Arial"/>
                <w:sz w:val="22"/>
                <w:szCs w:val="22"/>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22,367</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(69,676)</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75"/>
        </w:trPr>
        <w:tc>
          <w:tcPr>
            <w:tcW w:w="7580" w:type="dxa"/>
            <w:vAlign w:val="bottom"/>
          </w:tcPr>
          <w:p>
            <w:pPr>
              <w:spacing w:after="0"/>
              <w:rPr>
                <w:sz w:val="20"/>
                <w:szCs w:val="20"/>
                <w:color w:val="auto"/>
              </w:rPr>
            </w:pPr>
            <w:r>
              <w:rPr>
                <w:rFonts w:ascii="Arial" w:cs="Arial" w:eastAsia="Arial" w:hAnsi="Arial"/>
                <w:sz w:val="22"/>
                <w:szCs w:val="22"/>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0.39</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09"/>
        </w:trPr>
        <w:tc>
          <w:tcPr>
            <w:tcW w:w="7580" w:type="dxa"/>
            <w:vAlign w:val="bottom"/>
          </w:tcPr>
          <w:p>
            <w:pPr>
              <w:spacing w:after="0"/>
              <w:rPr>
                <w:sz w:val="20"/>
                <w:szCs w:val="20"/>
                <w:color w:val="auto"/>
              </w:rPr>
            </w:pPr>
            <w:r>
              <w:rPr>
                <w:rFonts w:ascii="Arial" w:cs="Arial" w:eastAsia="Arial" w:hAnsi="Arial"/>
                <w:sz w:val="22"/>
                <w:szCs w:val="22"/>
                <w:color w:val="auto"/>
              </w:rPr>
              <w:t>Net income (loss) per share - diluted</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0.39</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617"/>
        </w:trPr>
        <w:tc>
          <w:tcPr>
            <w:tcW w:w="7580" w:type="dxa"/>
            <w:vAlign w:val="bottom"/>
          </w:tcPr>
          <w:p>
            <w:pPr>
              <w:spacing w:after="0"/>
              <w:rPr>
                <w:sz w:val="20"/>
                <w:szCs w:val="20"/>
                <w:color w:val="auto"/>
              </w:rPr>
            </w:pPr>
            <w:r>
              <w:rPr>
                <w:rFonts w:ascii="Arial" w:cs="Arial" w:eastAsia="Arial" w:hAnsi="Arial"/>
                <w:sz w:val="22"/>
                <w:szCs w:val="22"/>
                <w:color w:val="auto"/>
              </w:rPr>
              <w:t>Weighted average common shares outstanding - basic</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0"/>
              </w:rPr>
              <w:t>56,868,111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55,028,371</w:t>
            </w:r>
          </w:p>
        </w:tc>
      </w:tr>
      <w:tr>
        <w:trPr>
          <w:trHeight w:val="309"/>
        </w:trPr>
        <w:tc>
          <w:tcPr>
            <w:tcW w:w="7580" w:type="dxa"/>
            <w:vAlign w:val="bottom"/>
          </w:tcPr>
          <w:p>
            <w:pPr>
              <w:spacing w:after="0"/>
              <w:rPr>
                <w:sz w:val="20"/>
                <w:szCs w:val="20"/>
                <w:color w:val="auto"/>
              </w:rPr>
            </w:pPr>
            <w:r>
              <w:rPr>
                <w:rFonts w:ascii="Arial" w:cs="Arial" w:eastAsia="Arial" w:hAnsi="Arial"/>
                <w:sz w:val="22"/>
                <w:szCs w:val="22"/>
                <w:color w:val="auto"/>
              </w:rPr>
              <w:t>Weighted average common shares outstanding - diluted</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0"/>
              </w:rPr>
              <w:t>57,562,746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55,028,371</w:t>
            </w:r>
          </w:p>
        </w:tc>
      </w:tr>
      <w:tr>
        <w:trPr>
          <w:trHeight w:val="617"/>
        </w:trPr>
        <w:tc>
          <w:tcPr>
            <w:tcW w:w="7580" w:type="dxa"/>
            <w:vAlign w:val="bottom"/>
          </w:tcPr>
          <w:p>
            <w:pPr>
              <w:spacing w:after="0"/>
              <w:rPr>
                <w:sz w:val="20"/>
                <w:szCs w:val="20"/>
                <w:color w:val="auto"/>
              </w:rPr>
            </w:pPr>
            <w:r>
              <w:rPr>
                <w:rFonts w:ascii="Arial" w:cs="Arial" w:eastAsia="Arial" w:hAnsi="Arial"/>
                <w:sz w:val="22"/>
                <w:szCs w:val="22"/>
                <w:color w:val="auto"/>
              </w:rPr>
              <w:t>Comprehensive income (loss):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9"/>
        </w:trPr>
        <w:tc>
          <w:tcPr>
            <w:tcW w:w="7580" w:type="dxa"/>
            <w:vAlign w:val="bottom"/>
          </w:tcPr>
          <w:p>
            <w:pPr>
              <w:spacing w:after="0"/>
              <w:rPr>
                <w:sz w:val="20"/>
                <w:szCs w:val="20"/>
                <w:color w:val="auto"/>
              </w:rPr>
            </w:pPr>
            <w:r>
              <w:rPr>
                <w:rFonts w:ascii="Arial" w:cs="Arial" w:eastAsia="Arial" w:hAnsi="Arial"/>
                <w:sz w:val="22"/>
                <w:szCs w:val="22"/>
                <w:color w:val="auto"/>
              </w:rPr>
              <w:t>Net income (loss)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22,367</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(69,676)</w:t>
            </w:r>
          </w:p>
        </w:tc>
      </w:tr>
      <w:tr>
        <w:trPr>
          <w:trHeight w:val="309"/>
        </w:trPr>
        <w:tc>
          <w:tcPr>
            <w:tcW w:w="7580" w:type="dxa"/>
            <w:vAlign w:val="bottom"/>
          </w:tcPr>
          <w:p>
            <w:pPr>
              <w:spacing w:after="0"/>
              <w:rPr>
                <w:sz w:val="20"/>
                <w:szCs w:val="20"/>
                <w:color w:val="auto"/>
              </w:rPr>
            </w:pPr>
            <w:r>
              <w:rPr>
                <w:rFonts w:ascii="Arial" w:cs="Arial" w:eastAsia="Arial" w:hAnsi="Arial"/>
                <w:sz w:val="22"/>
                <w:szCs w:val="22"/>
                <w:color w:val="auto"/>
              </w:rPr>
              <w:t>Other comprehensive (loss) income: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1"/>
        </w:trPr>
        <w:tc>
          <w:tcPr>
            <w:tcW w:w="7580" w:type="dxa"/>
            <w:vAlign w:val="bottom"/>
          </w:tcPr>
          <w:p>
            <w:pPr>
              <w:spacing w:after="0"/>
              <w:rPr>
                <w:sz w:val="20"/>
                <w:szCs w:val="20"/>
                <w:color w:val="auto"/>
              </w:rPr>
            </w:pPr>
            <w:r>
              <w:rPr>
                <w:rFonts w:ascii="Arial" w:cs="Arial" w:eastAsia="Arial" w:hAnsi="Arial"/>
                <w:sz w:val="22"/>
                <w:szCs w:val="22"/>
                <w:color w:val="auto"/>
              </w:rPr>
              <w:t>Change in unrealized (loss) gain on investments, net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w:t>
            </w:r>
          </w:p>
        </w:tc>
      </w:tr>
      <w:tr>
        <w:trPr>
          <w:trHeight w:val="269"/>
        </w:trPr>
        <w:tc>
          <w:tcPr>
            <w:tcW w:w="7580" w:type="dxa"/>
            <w:vAlign w:val="bottom"/>
          </w:tcPr>
          <w:p>
            <w:pPr>
              <w:spacing w:after="0"/>
              <w:rPr>
                <w:sz w:val="20"/>
                <w:szCs w:val="20"/>
                <w:color w:val="auto"/>
              </w:rPr>
            </w:pPr>
            <w:r>
              <w:rPr>
                <w:rFonts w:ascii="Arial" w:cs="Arial" w:eastAsia="Arial" w:hAnsi="Arial"/>
                <w:sz w:val="22"/>
                <w:szCs w:val="22"/>
                <w:color w:val="auto"/>
              </w:rPr>
              <w:t>Comprehensive income (loss)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22,444</w:t>
            </w: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(69,625)</w:t>
            </w:r>
          </w:p>
        </w:tc>
      </w:tr>
      <w:tr>
        <w:trPr>
          <w:trHeight w:val="20"/>
        </w:trPr>
        <w:tc>
          <w:tcPr>
            <w:tcW w:w="7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-4875530</wp:posOffset>
            </wp:positionV>
            <wp:extent cx="6522085" cy="4882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522085" cy="488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880" w:h="15480" w:orient="portrait"/>
          <w:cols w:equalWidth="0" w:num="1">
            <w:col w:w="10180"/>
          </w:cols>
          <w:pgMar w:left="88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135</w:t>
      </w:r>
    </w:p>
    <w:p>
      <w:pPr>
        <w:sectPr>
          <w:pgSz w:w="11880" w:h="15480" w:orient="portrait"/>
          <w:cols w:equalWidth="0" w:num="1">
            <w:col w:w="10180"/>
          </w:cols>
          <w:pgMar w:left="880" w:top="670" w:right="82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84"/>
        </w:trPr>
        <w:tc>
          <w:tcPr>
            <w:tcW w:w="7480" w:type="dxa"/>
            <w:vAlign w:val="bottom"/>
          </w:tcPr>
          <w:p>
            <w:pPr>
              <w:jc w:val="center"/>
              <w:ind w:left="2452"/>
              <w:spacing w:after="0"/>
              <w:rPr>
                <w:sz w:val="20"/>
                <w:szCs w:val="20"/>
                <w:color w:val="auto"/>
              </w:rPr>
            </w:pPr>
            <w:r>
              <w:rPr>
                <w:rFonts w:ascii="Arial" w:cs="Arial" w:eastAsia="Arial" w:hAnsi="Arial"/>
                <w:sz w:val="22"/>
                <w:szCs w:val="22"/>
                <w:b w:val="1"/>
                <w:bCs w:val="1"/>
                <w:color w:val="auto"/>
                <w:w w:val="89"/>
              </w:rPr>
              <w:t>Black Diamond Therapeutics,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80" w:type="dxa"/>
            <w:vAlign w:val="bottom"/>
          </w:tcPr>
          <w:p>
            <w:pPr>
              <w:jc w:val="center"/>
              <w:ind w:left="2452"/>
              <w:spacing w:after="0"/>
              <w:rPr>
                <w:sz w:val="20"/>
                <w:szCs w:val="20"/>
                <w:color w:val="auto"/>
              </w:rPr>
            </w:pPr>
            <w:r>
              <w:rPr>
                <w:rFonts w:ascii="Arial" w:cs="Arial" w:eastAsia="Arial" w:hAnsi="Arial"/>
                <w:sz w:val="22"/>
                <w:szCs w:val="22"/>
                <w:b w:val="1"/>
                <w:bCs w:val="1"/>
                <w:color w:val="auto"/>
                <w:w w:val="86"/>
              </w:rPr>
              <w:t>Consolidated Statements of Cash Flows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80" w:type="dxa"/>
            <w:vAlign w:val="bottom"/>
          </w:tcPr>
          <w:p>
            <w:pPr>
              <w:jc w:val="center"/>
              <w:ind w:left="2452"/>
              <w:spacing w:after="0"/>
              <w:rPr>
                <w:sz w:val="20"/>
                <w:szCs w:val="20"/>
                <w:color w:val="auto"/>
              </w:rPr>
            </w:pPr>
            <w:r>
              <w:rPr>
                <w:rFonts w:ascii="Arial" w:cs="Arial" w:eastAsia="Arial" w:hAnsi="Arial"/>
                <w:sz w:val="22"/>
                <w:szCs w:val="22"/>
                <w:b w:val="1"/>
                <w:bCs w:val="1"/>
                <w:color w:val="auto"/>
                <w:w w:val="87"/>
              </w:rPr>
              <w:t>(in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22"/>
                <w:szCs w:val="22"/>
                <w:color w:val="auto"/>
                <w:w w:val="86"/>
              </w:rPr>
              <w:t>Year Ended December 31,</w:t>
            </w:r>
          </w:p>
        </w:tc>
        <w:tc>
          <w:tcPr>
            <w:tcW w:w="0" w:type="dxa"/>
            <w:vAlign w:val="bottom"/>
          </w:tcPr>
          <w:p>
            <w:pPr>
              <w:spacing w:after="0"/>
              <w:rPr>
                <w:sz w:val="1"/>
                <w:szCs w:val="1"/>
                <w:color w:val="auto"/>
              </w:rPr>
            </w:pPr>
          </w:p>
        </w:tc>
      </w:tr>
      <w:tr>
        <w:trPr>
          <w:trHeight w:val="259"/>
        </w:trPr>
        <w:tc>
          <w:tcPr>
            <w:tcW w:w="7480" w:type="dxa"/>
            <w:vAlign w:val="bottom"/>
            <w:vMerge w:val="restart"/>
          </w:tcPr>
          <w:p>
            <w:pPr>
              <w:spacing w:after="0"/>
              <w:rPr>
                <w:sz w:val="20"/>
                <w:szCs w:val="20"/>
                <w:color w:val="auto"/>
              </w:rPr>
            </w:pPr>
            <w:r>
              <w:rPr>
                <w:rFonts w:ascii="Arial" w:cs="Arial" w:eastAsia="Arial" w:hAnsi="Arial"/>
                <w:sz w:val="22"/>
                <w:szCs w:val="22"/>
                <w:b w:val="1"/>
                <w:bCs w:val="1"/>
                <w:color w:val="auto"/>
              </w:rPr>
              <w:t>Cash flows from operating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2024</w:t>
            </w:r>
          </w:p>
        </w:tc>
        <w:tc>
          <w:tcPr>
            <w:tcW w:w="0" w:type="dxa"/>
            <w:vAlign w:val="bottom"/>
          </w:tcPr>
          <w:p>
            <w:pPr>
              <w:spacing w:after="0"/>
              <w:rPr>
                <w:sz w:val="1"/>
                <w:szCs w:val="1"/>
                <w:color w:val="auto"/>
              </w:rPr>
            </w:pPr>
          </w:p>
        </w:tc>
      </w:tr>
      <w:tr>
        <w:trPr>
          <w:trHeight w:val="273"/>
        </w:trPr>
        <w:tc>
          <w:tcPr>
            <w:tcW w:w="74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7480" w:type="dxa"/>
            <w:vAlign w:val="bottom"/>
          </w:tcPr>
          <w:p>
            <w:pPr>
              <w:spacing w:after="0"/>
              <w:rPr>
                <w:sz w:val="20"/>
                <w:szCs w:val="20"/>
                <w:color w:val="auto"/>
              </w:rPr>
            </w:pPr>
            <w:r>
              <w:rPr>
                <w:rFonts w:ascii="Arial" w:cs="Arial" w:eastAsia="Arial" w:hAnsi="Arial"/>
                <w:sz w:val="22"/>
                <w:szCs w:val="22"/>
                <w:color w:val="auto"/>
              </w:rPr>
              <w:t>Net income (loss)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22,367</w:t>
            </w:r>
          </w:p>
        </w:tc>
        <w:tc>
          <w:tcPr>
            <w:tcW w:w="34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(69,676)</w:t>
            </w:r>
          </w:p>
        </w:tc>
        <w:tc>
          <w:tcPr>
            <w:tcW w:w="0" w:type="dxa"/>
            <w:vAlign w:val="bottom"/>
          </w:tcPr>
          <w:p>
            <w:pPr>
              <w:spacing w:after="0"/>
              <w:rPr>
                <w:sz w:val="1"/>
                <w:szCs w:val="1"/>
                <w:color w:val="auto"/>
              </w:rPr>
            </w:pPr>
          </w:p>
        </w:tc>
      </w:tr>
      <w:tr>
        <w:trPr>
          <w:trHeight w:val="299"/>
        </w:trPr>
        <w:tc>
          <w:tcPr>
            <w:tcW w:w="7480" w:type="dxa"/>
            <w:vAlign w:val="bottom"/>
          </w:tcPr>
          <w:p>
            <w:pPr>
              <w:spacing w:after="0"/>
              <w:rPr>
                <w:sz w:val="20"/>
                <w:szCs w:val="20"/>
                <w:color w:val="auto"/>
              </w:rPr>
            </w:pPr>
            <w:r>
              <w:rPr>
                <w:rFonts w:ascii="Arial" w:cs="Arial" w:eastAsia="Arial" w:hAnsi="Arial"/>
                <w:sz w:val="22"/>
                <w:szCs w:val="22"/>
                <w:color w:val="auto"/>
                <w:w w:val="94"/>
              </w:rPr>
              <w:t>Adjustment to reconcile net income (loss) to net cash used in operating activities: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480" w:type="dxa"/>
            <w:vAlign w:val="bottom"/>
          </w:tcPr>
          <w:p>
            <w:pPr>
              <w:ind w:left="240"/>
              <w:spacing w:after="0"/>
              <w:rPr>
                <w:sz w:val="20"/>
                <w:szCs w:val="20"/>
                <w:color w:val="auto"/>
              </w:rPr>
            </w:pPr>
            <w:r>
              <w:rPr>
                <w:rFonts w:ascii="Arial" w:cs="Arial" w:eastAsia="Arial" w:hAnsi="Arial"/>
                <w:sz w:val="22"/>
                <w:szCs w:val="22"/>
                <w:color w:val="auto"/>
              </w:rPr>
              <w:t>Stock-based compensation expense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6,628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10,627</w:t>
            </w:r>
          </w:p>
        </w:tc>
        <w:tc>
          <w:tcPr>
            <w:tcW w:w="0" w:type="dxa"/>
            <w:vAlign w:val="bottom"/>
          </w:tcPr>
          <w:p>
            <w:pPr>
              <w:spacing w:after="0"/>
              <w:rPr>
                <w:sz w:val="1"/>
                <w:szCs w:val="1"/>
                <w:color w:val="auto"/>
              </w:rPr>
            </w:pPr>
          </w:p>
        </w:tc>
      </w:tr>
      <w:tr>
        <w:trPr>
          <w:trHeight w:val="309"/>
        </w:trPr>
        <w:tc>
          <w:tcPr>
            <w:tcW w:w="7480" w:type="dxa"/>
            <w:vAlign w:val="bottom"/>
          </w:tcPr>
          <w:p>
            <w:pPr>
              <w:ind w:left="240"/>
              <w:spacing w:after="0"/>
              <w:rPr>
                <w:sz w:val="20"/>
                <w:szCs w:val="20"/>
                <w:color w:val="auto"/>
              </w:rPr>
            </w:pPr>
            <w:r>
              <w:rPr>
                <w:rFonts w:ascii="Arial" w:cs="Arial" w:eastAsia="Arial" w:hAnsi="Arial"/>
                <w:sz w:val="22"/>
                <w:szCs w:val="22"/>
                <w:color w:val="auto"/>
              </w:rPr>
              <w:t>Depreciation expense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343</w:t>
            </w:r>
          </w:p>
        </w:tc>
        <w:tc>
          <w:tcPr>
            <w:tcW w:w="0" w:type="dxa"/>
            <w:vAlign w:val="bottom"/>
          </w:tcPr>
          <w:p>
            <w:pPr>
              <w:spacing w:after="0"/>
              <w:rPr>
                <w:sz w:val="1"/>
                <w:szCs w:val="1"/>
                <w:color w:val="auto"/>
              </w:rPr>
            </w:pPr>
          </w:p>
        </w:tc>
      </w:tr>
      <w:tr>
        <w:trPr>
          <w:trHeight w:val="299"/>
        </w:trPr>
        <w:tc>
          <w:tcPr>
            <w:tcW w:w="7480" w:type="dxa"/>
            <w:vAlign w:val="bottom"/>
          </w:tcPr>
          <w:p>
            <w:pPr>
              <w:ind w:left="240"/>
              <w:spacing w:after="0"/>
              <w:rPr>
                <w:sz w:val="20"/>
                <w:szCs w:val="20"/>
                <w:color w:val="auto"/>
              </w:rPr>
            </w:pPr>
            <w:r>
              <w:rPr>
                <w:rFonts w:ascii="Arial" w:cs="Arial" w:eastAsia="Arial" w:hAnsi="Arial"/>
                <w:sz w:val="22"/>
                <w:szCs w:val="22"/>
                <w:color w:val="auto"/>
              </w:rPr>
              <w:t>(Accretion) amortization on investments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(1,279)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(3,782)</w:t>
            </w:r>
          </w:p>
        </w:tc>
        <w:tc>
          <w:tcPr>
            <w:tcW w:w="0" w:type="dxa"/>
            <w:vAlign w:val="bottom"/>
          </w:tcPr>
          <w:p>
            <w:pPr>
              <w:spacing w:after="0"/>
              <w:rPr>
                <w:sz w:val="1"/>
                <w:szCs w:val="1"/>
                <w:color w:val="auto"/>
              </w:rPr>
            </w:pPr>
          </w:p>
        </w:tc>
      </w:tr>
      <w:tr>
        <w:trPr>
          <w:trHeight w:val="309"/>
        </w:trPr>
        <w:tc>
          <w:tcPr>
            <w:tcW w:w="7480" w:type="dxa"/>
            <w:vAlign w:val="bottom"/>
          </w:tcPr>
          <w:p>
            <w:pPr>
              <w:ind w:left="240"/>
              <w:spacing w:after="0"/>
              <w:rPr>
                <w:sz w:val="20"/>
                <w:szCs w:val="20"/>
                <w:color w:val="auto"/>
              </w:rPr>
            </w:pPr>
            <w:r>
              <w:rPr>
                <w:rFonts w:ascii="Arial" w:cs="Arial" w:eastAsia="Arial" w:hAnsi="Arial"/>
                <w:sz w:val="22"/>
                <w:szCs w:val="22"/>
                <w:color w:val="auto"/>
              </w:rPr>
              <w:t>Non-cash rent expense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3,054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2,971</w:t>
            </w:r>
          </w:p>
        </w:tc>
        <w:tc>
          <w:tcPr>
            <w:tcW w:w="0" w:type="dxa"/>
            <w:vAlign w:val="bottom"/>
          </w:tcPr>
          <w:p>
            <w:pPr>
              <w:spacing w:after="0"/>
              <w:rPr>
                <w:sz w:val="1"/>
                <w:szCs w:val="1"/>
                <w:color w:val="auto"/>
              </w:rPr>
            </w:pPr>
          </w:p>
        </w:tc>
      </w:tr>
      <w:tr>
        <w:trPr>
          <w:trHeight w:val="309"/>
        </w:trPr>
        <w:tc>
          <w:tcPr>
            <w:tcW w:w="7480" w:type="dxa"/>
            <w:vAlign w:val="bottom"/>
          </w:tcPr>
          <w:p>
            <w:pPr>
              <w:ind w:left="240"/>
              <w:spacing w:after="0"/>
              <w:rPr>
                <w:sz w:val="20"/>
                <w:szCs w:val="20"/>
                <w:color w:val="auto"/>
              </w:rPr>
            </w:pPr>
            <w:r>
              <w:rPr>
                <w:rFonts w:ascii="Arial" w:cs="Arial" w:eastAsia="Arial" w:hAnsi="Arial"/>
                <w:sz w:val="22"/>
                <w:szCs w:val="22"/>
                <w:color w:val="auto"/>
              </w:rPr>
              <w:t>Gain on sale of investments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9"/>
        </w:trPr>
        <w:tc>
          <w:tcPr>
            <w:tcW w:w="7480" w:type="dxa"/>
            <w:vAlign w:val="bottom"/>
          </w:tcPr>
          <w:p>
            <w:pPr>
              <w:ind w:left="240"/>
              <w:spacing w:after="0"/>
              <w:rPr>
                <w:sz w:val="20"/>
                <w:szCs w:val="20"/>
                <w:color w:val="auto"/>
              </w:rPr>
            </w:pPr>
            <w:r>
              <w:rPr>
                <w:rFonts w:ascii="Arial" w:cs="Arial" w:eastAsia="Arial" w:hAnsi="Arial"/>
                <w:sz w:val="22"/>
                <w:szCs w:val="22"/>
                <w:color w:val="auto"/>
              </w:rPr>
              <w:t>Impairment of right-of-use assets and property and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7,348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9"/>
        </w:trPr>
        <w:tc>
          <w:tcPr>
            <w:tcW w:w="7480" w:type="dxa"/>
            <w:vAlign w:val="bottom"/>
          </w:tcPr>
          <w:p>
            <w:pPr>
              <w:ind w:left="240"/>
              <w:spacing w:after="0"/>
              <w:rPr>
                <w:sz w:val="20"/>
                <w:szCs w:val="20"/>
                <w:color w:val="auto"/>
              </w:rPr>
            </w:pPr>
            <w:r>
              <w:rPr>
                <w:rFonts w:ascii="Arial" w:cs="Arial" w:eastAsia="Arial" w:hAnsi="Arial"/>
                <w:sz w:val="22"/>
                <w:szCs w:val="22"/>
                <w:color w:val="auto"/>
              </w:rPr>
              <w:t>Gain on sale of property and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309"/>
        </w:trPr>
        <w:tc>
          <w:tcPr>
            <w:tcW w:w="7480" w:type="dxa"/>
            <w:vAlign w:val="bottom"/>
          </w:tcPr>
          <w:p>
            <w:pPr>
              <w:spacing w:after="0"/>
              <w:rPr>
                <w:sz w:val="20"/>
                <w:szCs w:val="20"/>
                <w:color w:val="auto"/>
              </w:rPr>
            </w:pPr>
            <w:r>
              <w:rPr>
                <w:rFonts w:ascii="Arial" w:cs="Arial" w:eastAsia="Arial" w:hAnsi="Arial"/>
                <w:sz w:val="22"/>
                <w:szCs w:val="22"/>
                <w:color w:val="auto"/>
              </w:rPr>
              <w:t>Changes in operating assets and liabilities: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480" w:type="dxa"/>
            <w:vAlign w:val="bottom"/>
          </w:tcPr>
          <w:p>
            <w:pPr>
              <w:ind w:left="360"/>
              <w:spacing w:after="0"/>
              <w:rPr>
                <w:sz w:val="20"/>
                <w:szCs w:val="20"/>
                <w:color w:val="auto"/>
              </w:rPr>
            </w:pPr>
            <w:r>
              <w:rPr>
                <w:rFonts w:ascii="Arial" w:cs="Arial" w:eastAsia="Arial" w:hAnsi="Arial"/>
                <w:sz w:val="22"/>
                <w:szCs w:val="22"/>
                <w:color w:val="auto"/>
              </w:rPr>
              <w:t>Prepaid expenses and other current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309"/>
        </w:trPr>
        <w:tc>
          <w:tcPr>
            <w:tcW w:w="7480" w:type="dxa"/>
            <w:vAlign w:val="bottom"/>
          </w:tcPr>
          <w:p>
            <w:pPr>
              <w:ind w:left="360"/>
              <w:spacing w:after="0"/>
              <w:rPr>
                <w:sz w:val="20"/>
                <w:szCs w:val="20"/>
                <w:color w:val="auto"/>
              </w:rPr>
            </w:pPr>
            <w:r>
              <w:rPr>
                <w:rFonts w:ascii="Arial" w:cs="Arial" w:eastAsia="Arial" w:hAnsi="Arial"/>
                <w:sz w:val="22"/>
                <w:szCs w:val="22"/>
                <w:color w:val="auto"/>
              </w:rPr>
              <w:t>Other non-current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(249)</w:t>
            </w:r>
          </w:p>
        </w:tc>
        <w:tc>
          <w:tcPr>
            <w:tcW w:w="0" w:type="dxa"/>
            <w:vAlign w:val="bottom"/>
          </w:tcPr>
          <w:p>
            <w:pPr>
              <w:spacing w:after="0"/>
              <w:rPr>
                <w:sz w:val="1"/>
                <w:szCs w:val="1"/>
                <w:color w:val="auto"/>
              </w:rPr>
            </w:pPr>
          </w:p>
        </w:tc>
      </w:tr>
      <w:tr>
        <w:trPr>
          <w:trHeight w:val="309"/>
        </w:trPr>
        <w:tc>
          <w:tcPr>
            <w:tcW w:w="7480" w:type="dxa"/>
            <w:vAlign w:val="bottom"/>
          </w:tcPr>
          <w:p>
            <w:pPr>
              <w:ind w:left="360"/>
              <w:spacing w:after="0"/>
              <w:rPr>
                <w:sz w:val="20"/>
                <w:szCs w:val="20"/>
                <w:color w:val="auto"/>
              </w:rPr>
            </w:pPr>
            <w:r>
              <w:rPr>
                <w:rFonts w:ascii="Arial" w:cs="Arial" w:eastAsia="Arial" w:hAnsi="Arial"/>
                <w:sz w:val="22"/>
                <w:szCs w:val="22"/>
                <w:color w:val="auto"/>
              </w:rPr>
              <w:t>Accounts payable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(3,428)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1,683</w:t>
            </w:r>
          </w:p>
        </w:tc>
        <w:tc>
          <w:tcPr>
            <w:tcW w:w="0" w:type="dxa"/>
            <w:vAlign w:val="bottom"/>
          </w:tcPr>
          <w:p>
            <w:pPr>
              <w:spacing w:after="0"/>
              <w:rPr>
                <w:sz w:val="1"/>
                <w:szCs w:val="1"/>
                <w:color w:val="auto"/>
              </w:rPr>
            </w:pPr>
          </w:p>
        </w:tc>
      </w:tr>
      <w:tr>
        <w:trPr>
          <w:trHeight w:val="309"/>
        </w:trPr>
        <w:tc>
          <w:tcPr>
            <w:tcW w:w="7480" w:type="dxa"/>
            <w:vAlign w:val="bottom"/>
          </w:tcPr>
          <w:p>
            <w:pPr>
              <w:ind w:left="360"/>
              <w:spacing w:after="0"/>
              <w:rPr>
                <w:sz w:val="20"/>
                <w:szCs w:val="20"/>
                <w:color w:val="auto"/>
              </w:rPr>
            </w:pPr>
            <w:r>
              <w:rPr>
                <w:rFonts w:ascii="Arial" w:cs="Arial" w:eastAsia="Arial" w:hAnsi="Arial"/>
                <w:sz w:val="22"/>
                <w:szCs w:val="22"/>
                <w:color w:val="auto"/>
              </w:rPr>
              <w:t>Accrued expenses and other current liabilities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(1,414)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(756)</w:t>
            </w:r>
          </w:p>
        </w:tc>
        <w:tc>
          <w:tcPr>
            <w:tcW w:w="0" w:type="dxa"/>
            <w:vAlign w:val="bottom"/>
          </w:tcPr>
          <w:p>
            <w:pPr>
              <w:spacing w:after="0"/>
              <w:rPr>
                <w:sz w:val="1"/>
                <w:szCs w:val="1"/>
                <w:color w:val="auto"/>
              </w:rPr>
            </w:pPr>
          </w:p>
        </w:tc>
      </w:tr>
      <w:tr>
        <w:trPr>
          <w:trHeight w:val="311"/>
        </w:trPr>
        <w:tc>
          <w:tcPr>
            <w:tcW w:w="7480" w:type="dxa"/>
            <w:vAlign w:val="bottom"/>
          </w:tcPr>
          <w:p>
            <w:pPr>
              <w:ind w:left="360"/>
              <w:spacing w:after="0"/>
              <w:rPr>
                <w:sz w:val="20"/>
                <w:szCs w:val="20"/>
                <w:color w:val="auto"/>
              </w:rPr>
            </w:pPr>
            <w:r>
              <w:rPr>
                <w:rFonts w:ascii="Arial" w:cs="Arial" w:eastAsia="Arial" w:hAnsi="Arial"/>
                <w:sz w:val="22"/>
                <w:szCs w:val="22"/>
                <w:color w:val="auto"/>
              </w:rPr>
              <w:t>Non-current operating lease liability</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(3,713)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(3,403)</w:t>
            </w:r>
          </w:p>
        </w:tc>
        <w:tc>
          <w:tcPr>
            <w:tcW w:w="0" w:type="dxa"/>
            <w:vAlign w:val="bottom"/>
          </w:tcPr>
          <w:p>
            <w:pPr>
              <w:spacing w:after="0"/>
              <w:rPr>
                <w:sz w:val="1"/>
                <w:szCs w:val="1"/>
                <w:color w:val="auto"/>
              </w:rPr>
            </w:pPr>
          </w:p>
        </w:tc>
      </w:tr>
      <w:tr>
        <w:trPr>
          <w:trHeight w:val="289"/>
        </w:trPr>
        <w:tc>
          <w:tcPr>
            <w:tcW w:w="7480" w:type="dxa"/>
            <w:vAlign w:val="bottom"/>
          </w:tcPr>
          <w:p>
            <w:pPr>
              <w:ind w:left="360"/>
              <w:spacing w:after="0"/>
              <w:rPr>
                <w:sz w:val="20"/>
                <w:szCs w:val="20"/>
                <w:color w:val="auto"/>
              </w:rPr>
            </w:pPr>
            <w:r>
              <w:rPr>
                <w:rFonts w:ascii="Arial" w:cs="Arial" w:eastAsia="Arial" w:hAnsi="Arial"/>
                <w:sz w:val="22"/>
                <w:szCs w:val="22"/>
                <w:color w:val="auto"/>
              </w:rPr>
              <w:t>Net cash provided by (used in) operating activities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29,614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(62,303)</w:t>
            </w:r>
          </w:p>
        </w:tc>
        <w:tc>
          <w:tcPr>
            <w:tcW w:w="0" w:type="dxa"/>
            <w:vAlign w:val="bottom"/>
          </w:tcPr>
          <w:p>
            <w:pPr>
              <w:spacing w:after="0"/>
              <w:rPr>
                <w:sz w:val="1"/>
                <w:szCs w:val="1"/>
                <w:color w:val="auto"/>
              </w:rPr>
            </w:pPr>
          </w:p>
        </w:tc>
      </w:tr>
      <w:tr>
        <w:trPr>
          <w:trHeight w:val="435"/>
        </w:trPr>
        <w:tc>
          <w:tcPr>
            <w:tcW w:w="7480" w:type="dxa"/>
            <w:vAlign w:val="bottom"/>
          </w:tcPr>
          <w:p>
            <w:pPr>
              <w:spacing w:after="0"/>
              <w:rPr>
                <w:sz w:val="20"/>
                <w:szCs w:val="20"/>
                <w:color w:val="auto"/>
              </w:rPr>
            </w:pPr>
            <w:r>
              <w:rPr>
                <w:rFonts w:ascii="Arial" w:cs="Arial" w:eastAsia="Arial" w:hAnsi="Arial"/>
                <w:sz w:val="22"/>
                <w:szCs w:val="22"/>
                <w:b w:val="1"/>
                <w:bCs w:val="1"/>
                <w:color w:val="auto"/>
              </w:rPr>
              <w:t>Cash flows from investing activities: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480" w:type="dxa"/>
            <w:vAlign w:val="bottom"/>
          </w:tcPr>
          <w:p>
            <w:pPr>
              <w:spacing w:after="0"/>
              <w:rPr>
                <w:sz w:val="20"/>
                <w:szCs w:val="20"/>
                <w:color w:val="auto"/>
              </w:rPr>
            </w:pPr>
            <w:r>
              <w:rPr>
                <w:rFonts w:ascii="Arial" w:cs="Arial" w:eastAsia="Arial" w:hAnsi="Arial"/>
                <w:sz w:val="22"/>
                <w:szCs w:val="22"/>
                <w:color w:val="auto"/>
              </w:rPr>
              <w:t>Proceeds from disposal of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94</w:t>
            </w:r>
          </w:p>
        </w:tc>
        <w:tc>
          <w:tcPr>
            <w:tcW w:w="0" w:type="dxa"/>
            <w:vAlign w:val="bottom"/>
          </w:tcPr>
          <w:p>
            <w:pPr>
              <w:spacing w:after="0"/>
              <w:rPr>
                <w:sz w:val="1"/>
                <w:szCs w:val="1"/>
                <w:color w:val="auto"/>
              </w:rPr>
            </w:pPr>
          </w:p>
        </w:tc>
      </w:tr>
      <w:tr>
        <w:trPr>
          <w:trHeight w:val="309"/>
        </w:trPr>
        <w:tc>
          <w:tcPr>
            <w:tcW w:w="748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119,094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139,750</w:t>
            </w: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(164,026)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(122,876)</w:t>
            </w:r>
          </w:p>
        </w:tc>
        <w:tc>
          <w:tcPr>
            <w:tcW w:w="0" w:type="dxa"/>
            <w:vAlign w:val="bottom"/>
          </w:tcPr>
          <w:p>
            <w:pPr>
              <w:spacing w:after="0"/>
              <w:rPr>
                <w:sz w:val="1"/>
                <w:szCs w:val="1"/>
                <w:color w:val="auto"/>
              </w:rPr>
            </w:pPr>
          </w:p>
        </w:tc>
      </w:tr>
      <w:tr>
        <w:trPr>
          <w:trHeight w:val="289"/>
        </w:trPr>
        <w:tc>
          <w:tcPr>
            <w:tcW w:w="7480" w:type="dxa"/>
            <w:vAlign w:val="bottom"/>
          </w:tcPr>
          <w:p>
            <w:pPr>
              <w:ind w:left="360"/>
              <w:spacing w:after="0"/>
              <w:rPr>
                <w:sz w:val="20"/>
                <w:szCs w:val="20"/>
                <w:color w:val="auto"/>
              </w:rPr>
            </w:pPr>
            <w:r>
              <w:rPr>
                <w:rFonts w:ascii="Arial" w:cs="Arial" w:eastAsia="Arial" w:hAnsi="Arial"/>
                <w:sz w:val="22"/>
                <w:szCs w:val="22"/>
                <w:color w:val="auto"/>
              </w:rPr>
              <w:t>Net cash provided by (used in) investing activities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(44,905)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16,968</w:t>
            </w:r>
          </w:p>
        </w:tc>
        <w:tc>
          <w:tcPr>
            <w:tcW w:w="0" w:type="dxa"/>
            <w:vAlign w:val="bottom"/>
          </w:tcPr>
          <w:p>
            <w:pPr>
              <w:spacing w:after="0"/>
              <w:rPr>
                <w:sz w:val="1"/>
                <w:szCs w:val="1"/>
                <w:color w:val="auto"/>
              </w:rPr>
            </w:pPr>
          </w:p>
        </w:tc>
      </w:tr>
      <w:tr>
        <w:trPr>
          <w:trHeight w:val="435"/>
        </w:trPr>
        <w:tc>
          <w:tcPr>
            <w:tcW w:w="7480" w:type="dxa"/>
            <w:vAlign w:val="bottom"/>
          </w:tcPr>
          <w:p>
            <w:pPr>
              <w:spacing w:after="0"/>
              <w:rPr>
                <w:sz w:val="20"/>
                <w:szCs w:val="20"/>
                <w:color w:val="auto"/>
              </w:rPr>
            </w:pPr>
            <w:r>
              <w:rPr>
                <w:rFonts w:ascii="Arial" w:cs="Arial" w:eastAsia="Arial" w:hAnsi="Arial"/>
                <w:sz w:val="22"/>
                <w:szCs w:val="22"/>
                <w:b w:val="1"/>
                <w:bCs w:val="1"/>
                <w:color w:val="auto"/>
              </w:rPr>
              <w:t>Cash flows from financing activities: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line="233" w:lineRule="exact"/>
              <w:rPr>
                <w:sz w:val="20"/>
                <w:szCs w:val="20"/>
                <w:color w:val="auto"/>
              </w:rPr>
            </w:pPr>
            <w:r>
              <w:rPr>
                <w:rFonts w:ascii="Arial" w:cs="Arial" w:eastAsia="Arial" w:hAnsi="Arial"/>
                <w:sz w:val="22"/>
                <w:szCs w:val="22"/>
                <w:color w:val="auto"/>
                <w:w w:val="92"/>
              </w:rPr>
              <w:t>Proceeds from exercise of common stock options and ESPP, net of restricted stock</w:t>
            </w:r>
          </w:p>
        </w:tc>
        <w:tc>
          <w:tcPr>
            <w:tcW w:w="16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(146)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1,053</w:t>
            </w:r>
          </w:p>
        </w:tc>
        <w:tc>
          <w:tcPr>
            <w:tcW w:w="0" w:type="dxa"/>
            <w:vAlign w:val="bottom"/>
          </w:tcPr>
          <w:p>
            <w:pPr>
              <w:spacing w:after="0"/>
              <w:rPr>
                <w:sz w:val="1"/>
                <w:szCs w:val="1"/>
                <w:color w:val="auto"/>
              </w:rPr>
            </w:pPr>
          </w:p>
        </w:tc>
      </w:tr>
      <w:tr>
        <w:trPr>
          <w:trHeight w:val="280"/>
        </w:trPr>
        <w:tc>
          <w:tcPr>
            <w:tcW w:w="7480" w:type="dxa"/>
            <w:vAlign w:val="bottom"/>
          </w:tcPr>
          <w:p>
            <w:pPr>
              <w:spacing w:after="0"/>
              <w:rPr>
                <w:sz w:val="20"/>
                <w:szCs w:val="20"/>
                <w:color w:val="auto"/>
              </w:rPr>
            </w:pPr>
            <w:r>
              <w:rPr>
                <w:rFonts w:ascii="Arial" w:cs="Arial" w:eastAsia="Arial" w:hAnsi="Arial"/>
                <w:sz w:val="22"/>
                <w:szCs w:val="22"/>
                <w:color w:val="auto"/>
              </w:rPr>
              <w:t>surrendered for taxes</w:t>
            </w:r>
          </w:p>
        </w:tc>
        <w:tc>
          <w:tcPr>
            <w:tcW w:w="1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80" w:type="dxa"/>
            <w:vAlign w:val="bottom"/>
          </w:tcPr>
          <w:p>
            <w:pPr>
              <w:spacing w:after="0"/>
              <w:rPr>
                <w:sz w:val="20"/>
                <w:szCs w:val="20"/>
                <w:color w:val="auto"/>
              </w:rPr>
            </w:pPr>
            <w:r>
              <w:rPr>
                <w:rFonts w:ascii="Arial" w:cs="Arial" w:eastAsia="Arial" w:hAnsi="Arial"/>
                <w:sz w:val="22"/>
                <w:szCs w:val="22"/>
                <w:color w:val="auto"/>
              </w:rPr>
              <w:t>Proceeds from issuance of common stock, net of issuance costs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24,494</w:t>
            </w:r>
          </w:p>
        </w:tc>
        <w:tc>
          <w:tcPr>
            <w:tcW w:w="0" w:type="dxa"/>
            <w:vAlign w:val="bottom"/>
          </w:tcPr>
          <w:p>
            <w:pPr>
              <w:spacing w:after="0"/>
              <w:rPr>
                <w:sz w:val="1"/>
                <w:szCs w:val="1"/>
                <w:color w:val="auto"/>
              </w:rPr>
            </w:pPr>
          </w:p>
        </w:tc>
      </w:tr>
      <w:tr>
        <w:trPr>
          <w:trHeight w:val="289"/>
        </w:trPr>
        <w:tc>
          <w:tcPr>
            <w:tcW w:w="7480" w:type="dxa"/>
            <w:vAlign w:val="bottom"/>
          </w:tcPr>
          <w:p>
            <w:pPr>
              <w:ind w:left="360"/>
              <w:spacing w:after="0"/>
              <w:rPr>
                <w:sz w:val="20"/>
                <w:szCs w:val="20"/>
                <w:color w:val="auto"/>
              </w:rPr>
            </w:pPr>
            <w:r>
              <w:rPr>
                <w:rFonts w:ascii="Arial" w:cs="Arial" w:eastAsia="Arial" w:hAnsi="Arial"/>
                <w:sz w:val="22"/>
                <w:szCs w:val="22"/>
                <w:color w:val="auto"/>
              </w:rPr>
              <w:t>Net cash provided by (used in) financing activities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25,547</w:t>
            </w:r>
          </w:p>
        </w:tc>
        <w:tc>
          <w:tcPr>
            <w:tcW w:w="0" w:type="dxa"/>
            <w:vAlign w:val="bottom"/>
          </w:tcPr>
          <w:p>
            <w:pPr>
              <w:spacing w:after="0"/>
              <w:rPr>
                <w:sz w:val="1"/>
                <w:szCs w:val="1"/>
                <w:color w:val="auto"/>
              </w:rPr>
            </w:pPr>
          </w:p>
        </w:tc>
      </w:tr>
      <w:tr>
        <w:trPr>
          <w:trHeight w:val="287"/>
        </w:trPr>
        <w:tc>
          <w:tcPr>
            <w:tcW w:w="7480" w:type="dxa"/>
            <w:vAlign w:val="bottom"/>
          </w:tcPr>
          <w:p>
            <w:pPr>
              <w:spacing w:after="0"/>
              <w:rPr>
                <w:sz w:val="20"/>
                <w:szCs w:val="20"/>
                <w:color w:val="auto"/>
              </w:rPr>
            </w:pPr>
            <w:r>
              <w:rPr>
                <w:rFonts w:ascii="Arial" w:cs="Arial" w:eastAsia="Arial" w:hAnsi="Arial"/>
                <w:sz w:val="22"/>
                <w:szCs w:val="22"/>
                <w:color w:val="auto"/>
              </w:rPr>
              <w:t>Net (decrease) increase in cash and cash equivalents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(15,437)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(19,788)</w:t>
            </w: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Arial" w:cs="Arial" w:eastAsia="Arial" w:hAnsi="Arial"/>
                <w:sz w:val="22"/>
                <w:szCs w:val="22"/>
                <w:color w:val="auto"/>
              </w:rPr>
              <w:t>Cash, cash equivalents and restricted cash, beginning of year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37,256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57,044</w:t>
            </w:r>
          </w:p>
        </w:tc>
        <w:tc>
          <w:tcPr>
            <w:tcW w:w="0" w:type="dxa"/>
            <w:vAlign w:val="bottom"/>
          </w:tcPr>
          <w:p>
            <w:pPr>
              <w:spacing w:after="0"/>
              <w:rPr>
                <w:sz w:val="1"/>
                <w:szCs w:val="1"/>
                <w:color w:val="auto"/>
              </w:rPr>
            </w:pPr>
          </w:p>
        </w:tc>
      </w:tr>
      <w:tr>
        <w:trPr>
          <w:trHeight w:val="269"/>
        </w:trPr>
        <w:tc>
          <w:tcPr>
            <w:tcW w:w="7480" w:type="dxa"/>
            <w:vAlign w:val="bottom"/>
          </w:tcPr>
          <w:p>
            <w:pPr>
              <w:spacing w:after="0"/>
              <w:rPr>
                <w:sz w:val="20"/>
                <w:szCs w:val="20"/>
                <w:color w:val="auto"/>
              </w:rPr>
            </w:pPr>
            <w:r>
              <w:rPr>
                <w:rFonts w:ascii="Arial" w:cs="Arial" w:eastAsia="Arial" w:hAnsi="Arial"/>
                <w:sz w:val="22"/>
                <w:szCs w:val="22"/>
                <w:b w:val="1"/>
                <w:bCs w:val="1"/>
                <w:color w:val="auto"/>
              </w:rPr>
              <w:t>Cash, cash equivalents and restricted cash,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21,819</w:t>
            </w:r>
          </w:p>
        </w:tc>
        <w:tc>
          <w:tcPr>
            <w:tcW w:w="60" w:type="dxa"/>
            <w:vAlign w:val="bottom"/>
          </w:tcPr>
          <w:p>
            <w:pPr>
              <w:spacing w:after="0"/>
              <w:rPr>
                <w:sz w:val="23"/>
                <w:szCs w:val="23"/>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37,256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480" w:type="dxa"/>
            <w:vAlign w:val="bottom"/>
          </w:tcPr>
          <w:p>
            <w:pPr>
              <w:spacing w:after="0"/>
              <w:rPr>
                <w:sz w:val="20"/>
                <w:szCs w:val="20"/>
                <w:color w:val="auto"/>
              </w:rPr>
            </w:pPr>
            <w:r>
              <w:rPr>
                <w:rFonts w:ascii="Arial" w:cs="Arial" w:eastAsia="Arial" w:hAnsi="Arial"/>
                <w:sz w:val="22"/>
                <w:szCs w:val="22"/>
                <w:color w:val="auto"/>
              </w:rPr>
              <w:t>Cash and cash equivalents, end of year</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20,990</w:t>
            </w:r>
          </w:p>
        </w:tc>
        <w:tc>
          <w:tcPr>
            <w:tcW w:w="34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36,437</w:t>
            </w:r>
          </w:p>
        </w:tc>
        <w:tc>
          <w:tcPr>
            <w:tcW w:w="0" w:type="dxa"/>
            <w:vAlign w:val="bottom"/>
          </w:tcPr>
          <w:p>
            <w:pPr>
              <w:spacing w:after="0"/>
              <w:rPr>
                <w:sz w:val="1"/>
                <w:szCs w:val="1"/>
                <w:color w:val="auto"/>
              </w:rPr>
            </w:pPr>
          </w:p>
        </w:tc>
      </w:tr>
      <w:tr>
        <w:trPr>
          <w:trHeight w:val="321"/>
        </w:trPr>
        <w:tc>
          <w:tcPr>
            <w:tcW w:w="7480" w:type="dxa"/>
            <w:vAlign w:val="bottom"/>
          </w:tcPr>
          <w:p>
            <w:pPr>
              <w:spacing w:after="0"/>
              <w:rPr>
                <w:sz w:val="20"/>
                <w:szCs w:val="20"/>
                <w:color w:val="auto"/>
              </w:rPr>
            </w:pPr>
            <w:r>
              <w:rPr>
                <w:rFonts w:ascii="Arial" w:cs="Arial" w:eastAsia="Arial" w:hAnsi="Arial"/>
                <w:sz w:val="22"/>
                <w:szCs w:val="22"/>
                <w:color w:val="auto"/>
              </w:rPr>
              <w:t>Restricted cash, end of year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819</w:t>
            </w:r>
          </w:p>
        </w:tc>
        <w:tc>
          <w:tcPr>
            <w:tcW w:w="0" w:type="dxa"/>
            <w:vAlign w:val="bottom"/>
          </w:tcPr>
          <w:p>
            <w:pPr>
              <w:spacing w:after="0"/>
              <w:rPr>
                <w:sz w:val="1"/>
                <w:szCs w:val="1"/>
                <w:color w:val="auto"/>
              </w:rPr>
            </w:pPr>
          </w:p>
        </w:tc>
      </w:tr>
      <w:tr>
        <w:trPr>
          <w:trHeight w:val="269"/>
        </w:trPr>
        <w:tc>
          <w:tcPr>
            <w:tcW w:w="7480" w:type="dxa"/>
            <w:vAlign w:val="bottom"/>
          </w:tcPr>
          <w:p>
            <w:pPr>
              <w:spacing w:after="0"/>
              <w:rPr>
                <w:sz w:val="20"/>
                <w:szCs w:val="20"/>
                <w:color w:val="auto"/>
              </w:rPr>
            </w:pPr>
            <w:r>
              <w:rPr>
                <w:rFonts w:ascii="Arial" w:cs="Arial" w:eastAsia="Arial" w:hAnsi="Arial"/>
                <w:sz w:val="22"/>
                <w:szCs w:val="22"/>
                <w:b w:val="1"/>
                <w:bCs w:val="1"/>
                <w:color w:val="auto"/>
              </w:rPr>
              <w:t>Cash, cash equivalents and restricted cash, end of year</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21,819</w:t>
            </w:r>
          </w:p>
        </w:tc>
        <w:tc>
          <w:tcPr>
            <w:tcW w:w="34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37,256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-6714490</wp:posOffset>
            </wp:positionV>
            <wp:extent cx="6466205" cy="6721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466205" cy="6721475"/>
                    </a:xfrm>
                    <a:prstGeom prst="rect">
                      <a:avLst/>
                    </a:prstGeom>
                    <a:noFill/>
                  </pic:spPr>
                </pic:pic>
              </a:graphicData>
            </a:graphic>
          </wp:anchor>
        </w:drawing>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880" w:h="15480" w:orient="portrait"/>
          <w:cols w:equalWidth="0" w:num="1">
            <w:col w:w="10100"/>
          </w:cols>
          <w:pgMar w:left="920" w:top="71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136</w:t>
      </w:r>
    </w:p>
    <w:p>
      <w:pPr>
        <w:sectPr>
          <w:pgSz w:w="11880" w:h="15480" w:orient="portrait"/>
          <w:cols w:equalWidth="0" w:num="1">
            <w:col w:w="10100"/>
          </w:cols>
          <w:pgMar w:left="920" w:top="719" w:right="860" w:bottom="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18" w:type="dxa"/>
            <w:vAlign w:val="bottom"/>
            <w:textDirection w:val="tbRl"/>
          </w:tcPr>
          <w:p>
            <w:pPr>
              <w:spacing w:after="0"/>
              <w:rPr>
                <w:sz w:val="20"/>
                <w:szCs w:val="20"/>
                <w:color w:val="auto"/>
              </w:rPr>
            </w:pPr>
            <w:r>
              <w:rPr>
                <w:rFonts w:ascii="Arial" w:cs="Arial" w:eastAsia="Arial" w:hAnsi="Arial"/>
                <w:sz w:val="19"/>
                <w:szCs w:val="19"/>
                <w:color w:val="auto"/>
              </w:rPr>
              <w:t>137</w:t>
            </w:r>
          </w:p>
        </w:tc>
      </w:tr>
    </w:tbl>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22"/>
          <w:szCs w:val="22"/>
          <w:b w:val="1"/>
          <w:bCs w:val="1"/>
          <w:color w:val="auto"/>
        </w:rPr>
        <w:t>Black Diamond Therapeutics, Inc.</w:t>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 thousands, except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13"/>
                <w:szCs w:val="13"/>
                <w:color w:val="auto"/>
              </w:rPr>
            </w:pPr>
          </w:p>
        </w:tc>
        <w:tc>
          <w:tcPr>
            <w:tcW w:w="2420" w:type="dxa"/>
            <w:vAlign w:val="bottom"/>
            <w:gridSpan w:val="4"/>
            <w:vMerge w:val="restart"/>
          </w:tcPr>
          <w:p>
            <w:pPr>
              <w:jc w:val="right"/>
              <w:ind w:right="592"/>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center"/>
              <w:ind w:right="172"/>
              <w:spacing w:after="0" w:line="157" w:lineRule="exact"/>
              <w:rPr>
                <w:sz w:val="20"/>
                <w:szCs w:val="20"/>
                <w:color w:val="auto"/>
              </w:rPr>
            </w:pPr>
            <w:r>
              <w:rPr>
                <w:rFonts w:ascii="Arial" w:cs="Arial" w:eastAsia="Arial" w:hAnsi="Arial"/>
                <w:sz w:val="18"/>
                <w:szCs w:val="18"/>
                <w:color w:val="auto"/>
                <w:w w:val="87"/>
              </w:rPr>
              <w:t>other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8"/>
                <w:szCs w:val="18"/>
                <w:color w:val="auto"/>
                <w:w w:val="95"/>
              </w:rPr>
              <w:t>stockholders’</w:t>
            </w:r>
          </w:p>
        </w:tc>
        <w:tc>
          <w:tcPr>
            <w:tcW w:w="0" w:type="dxa"/>
            <w:vAlign w:val="bottom"/>
          </w:tcPr>
          <w:p>
            <w:pPr>
              <w:spacing w:after="0"/>
              <w:rPr>
                <w:sz w:val="1"/>
                <w:szCs w:val="1"/>
                <w:color w:val="auto"/>
              </w:rPr>
            </w:pPr>
          </w:p>
        </w:tc>
      </w:tr>
      <w:tr>
        <w:trPr>
          <w:trHeight w:val="121"/>
        </w:trPr>
        <w:tc>
          <w:tcPr>
            <w:tcW w:w="530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vMerge w:val="restart"/>
          </w:tcPr>
          <w:p>
            <w:pPr>
              <w:spacing w:after="0"/>
              <w:rPr>
                <w:sz w:val="10"/>
                <w:szCs w:val="10"/>
                <w:color w:val="auto"/>
              </w:rPr>
            </w:pPr>
          </w:p>
        </w:tc>
        <w:tc>
          <w:tcPr>
            <w:tcW w:w="1180" w:type="dxa"/>
            <w:vAlign w:val="bottom"/>
            <w:gridSpan w:val="2"/>
            <w:vMerge w:val="restart"/>
          </w:tcPr>
          <w:p>
            <w:pPr>
              <w:ind w:left="60"/>
              <w:spacing w:after="0" w:line="176" w:lineRule="exact"/>
              <w:rPr>
                <w:sz w:val="20"/>
                <w:szCs w:val="20"/>
                <w:color w:val="auto"/>
              </w:rPr>
            </w:pPr>
            <w:r>
              <w:rPr>
                <w:rFonts w:ascii="Arial" w:cs="Arial" w:eastAsia="Arial" w:hAnsi="Arial"/>
                <w:sz w:val="18"/>
                <w:szCs w:val="18"/>
                <w:color w:val="auto"/>
                <w:w w:val="90"/>
              </w:rPr>
              <w:t>comprehensive</w:t>
            </w:r>
          </w:p>
        </w:tc>
        <w:tc>
          <w:tcPr>
            <w:tcW w:w="60" w:type="dxa"/>
            <w:vAlign w:val="bottom"/>
            <w:vMerge w:val="restart"/>
          </w:tcPr>
          <w:p>
            <w:pPr>
              <w:spacing w:after="0"/>
              <w:rPr>
                <w:sz w:val="10"/>
                <w:szCs w:val="10"/>
                <w:color w:val="auto"/>
              </w:rPr>
            </w:pPr>
          </w:p>
        </w:tc>
        <w:tc>
          <w:tcPr>
            <w:tcW w:w="1180" w:type="dxa"/>
            <w:vAlign w:val="bottom"/>
            <w:gridSpan w:val="2"/>
            <w:vMerge w:val="restart"/>
          </w:tcPr>
          <w:p>
            <w:pPr>
              <w:jc w:val="right"/>
              <w:ind w:right="32"/>
              <w:spacing w:after="0" w:line="176" w:lineRule="exact"/>
              <w:rPr>
                <w:sz w:val="20"/>
                <w:szCs w:val="20"/>
                <w:color w:val="auto"/>
              </w:rPr>
            </w:pPr>
            <w:r>
              <w:rPr>
                <w:rFonts w:ascii="Arial" w:cs="Arial" w:eastAsia="Arial" w:hAnsi="Arial"/>
                <w:sz w:val="18"/>
                <w:szCs w:val="18"/>
                <w:color w:val="auto"/>
                <w:w w:val="99"/>
              </w:rPr>
              <w:t>Accumulated</w:t>
            </w:r>
          </w:p>
        </w:tc>
        <w:tc>
          <w:tcPr>
            <w:tcW w:w="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1180" w:type="dxa"/>
            <w:vAlign w:val="bottom"/>
            <w:vMerge w:val="restart"/>
          </w:tcPr>
          <w:p>
            <w:pPr>
              <w:jc w:val="right"/>
              <w:ind w:right="272"/>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color w:val="auto"/>
                <w:w w:val="93"/>
              </w:rPr>
              <w:t>Par Value</w:t>
            </w:r>
          </w:p>
        </w:tc>
        <w:tc>
          <w:tcPr>
            <w:tcW w:w="60" w:type="dxa"/>
            <w:vAlign w:val="bottom"/>
          </w:tcPr>
          <w:p>
            <w:pPr>
              <w:spacing w:after="0"/>
              <w:rPr>
                <w:sz w:val="3"/>
                <w:szCs w:val="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paid-in capital</w:t>
            </w:r>
          </w:p>
        </w:tc>
        <w:tc>
          <w:tcPr>
            <w:tcW w:w="6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restart"/>
          </w:tcPr>
          <w:p>
            <w:pPr>
              <w:jc w:val="right"/>
              <w:ind w:right="232"/>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Arial" w:cs="Arial" w:eastAsia="Arial" w:hAnsi="Arial"/>
                <w:sz w:val="18"/>
                <w:szCs w:val="18"/>
                <w:b w:val="1"/>
                <w:bCs w:val="1"/>
                <w:color w:val="auto"/>
              </w:rPr>
              <w:t>BALANCE - December 31, 2023</w:t>
            </w:r>
          </w:p>
        </w:tc>
        <w:tc>
          <w:tcPr>
            <w:tcW w:w="1180" w:type="dxa"/>
            <w:vAlign w:val="bottom"/>
          </w:tcPr>
          <w:p>
            <w:pPr>
              <w:jc w:val="right"/>
              <w:spacing w:after="0"/>
              <w:rPr>
                <w:sz w:val="20"/>
                <w:szCs w:val="20"/>
                <w:color w:val="auto"/>
              </w:rPr>
            </w:pPr>
            <w:r>
              <w:rPr>
                <w:rFonts w:ascii="Arial" w:cs="Arial" w:eastAsia="Arial" w:hAnsi="Arial"/>
                <w:sz w:val="18"/>
                <w:szCs w:val="18"/>
                <w:color w:val="auto"/>
              </w:rPr>
              <w:t>51,645,557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534,187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(417,431)</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116,736</w:t>
            </w:r>
          </w:p>
        </w:tc>
        <w:tc>
          <w:tcPr>
            <w:tcW w:w="0" w:type="dxa"/>
            <w:vAlign w:val="bottom"/>
          </w:tcPr>
          <w:p>
            <w:pPr>
              <w:spacing w:after="0"/>
              <w:rPr>
                <w:sz w:val="1"/>
                <w:szCs w:val="1"/>
                <w:color w:val="auto"/>
              </w:rPr>
            </w:pPr>
          </w:p>
        </w:tc>
      </w:tr>
      <w:tr>
        <w:trPr>
          <w:trHeight w:val="292"/>
        </w:trPr>
        <w:tc>
          <w:tcPr>
            <w:tcW w:w="53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4,490,853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24,494</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341,983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9"/>
        </w:trPr>
        <w:tc>
          <w:tcPr>
            <w:tcW w:w="53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19,449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9"/>
        </w:trPr>
        <w:tc>
          <w:tcPr>
            <w:tcW w:w="5300" w:type="dxa"/>
            <w:vAlign w:val="bottom"/>
          </w:tcPr>
          <w:p>
            <w:pPr>
              <w:spacing w:after="0"/>
              <w:rPr>
                <w:sz w:val="20"/>
                <w:szCs w:val="20"/>
                <w:color w:val="auto"/>
              </w:rPr>
            </w:pPr>
            <w:r>
              <w:rPr>
                <w:rFonts w:ascii="Arial" w:cs="Arial" w:eastAsia="Arial" w:hAnsi="Arial"/>
                <w:sz w:val="18"/>
                <w:szCs w:val="18"/>
                <w:color w:val="auto"/>
              </w:rPr>
              <w:t>Surrender of shares for taxes</w:t>
            </w:r>
          </w:p>
        </w:tc>
        <w:tc>
          <w:tcPr>
            <w:tcW w:w="1180" w:type="dxa"/>
            <w:vAlign w:val="bottom"/>
          </w:tcPr>
          <w:p>
            <w:pPr>
              <w:jc w:val="right"/>
              <w:spacing w:after="0"/>
              <w:rPr>
                <w:sz w:val="20"/>
                <w:szCs w:val="20"/>
                <w:color w:val="auto"/>
              </w:rPr>
            </w:pPr>
            <w:r>
              <w:rPr>
                <w:rFonts w:ascii="Arial" w:cs="Arial" w:eastAsia="Arial" w:hAnsi="Arial"/>
                <w:sz w:val="18"/>
                <w:szCs w:val="18"/>
                <w:color w:val="auto"/>
              </w:rPr>
              <w:t>(4,696)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9"/>
        </w:trPr>
        <w:tc>
          <w:tcPr>
            <w:tcW w:w="5300" w:type="dxa"/>
            <w:vAlign w:val="bottom"/>
          </w:tcPr>
          <w:p>
            <w:pPr>
              <w:spacing w:after="0"/>
              <w:rPr>
                <w:sz w:val="20"/>
                <w:szCs w:val="20"/>
                <w:color w:val="auto"/>
              </w:rPr>
            </w:pPr>
            <w:r>
              <w:rPr>
                <w:rFonts w:ascii="Arial" w:cs="Arial" w:eastAsia="Arial" w:hAnsi="Arial"/>
                <w:sz w:val="18"/>
                <w:szCs w:val="18"/>
                <w:color w:val="auto"/>
              </w:rPr>
              <w:t>Issuance of common stock related to ESPP</w:t>
            </w:r>
          </w:p>
        </w:tc>
        <w:tc>
          <w:tcPr>
            <w:tcW w:w="1180" w:type="dxa"/>
            <w:vAlign w:val="bottom"/>
          </w:tcPr>
          <w:p>
            <w:pPr>
              <w:jc w:val="right"/>
              <w:spacing w:after="0"/>
              <w:rPr>
                <w:sz w:val="20"/>
                <w:szCs w:val="20"/>
                <w:color w:val="auto"/>
              </w:rPr>
            </w:pPr>
            <w:r>
              <w:rPr>
                <w:rFonts w:ascii="Arial" w:cs="Arial" w:eastAsia="Arial" w:hAnsi="Arial"/>
                <w:sz w:val="18"/>
                <w:szCs w:val="18"/>
                <w:color w:val="auto"/>
              </w:rPr>
              <w:t>114,102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9"/>
        </w:trPr>
        <w:tc>
          <w:tcPr>
            <w:tcW w:w="5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37,407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Unrealized gains (loss) on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(69,676)</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Arial" w:cs="Arial" w:eastAsia="Arial" w:hAnsi="Arial"/>
                <w:sz w:val="18"/>
                <w:szCs w:val="18"/>
                <w:b w:val="1"/>
                <w:bCs w:val="1"/>
                <w:color w:val="auto"/>
              </w:rPr>
              <w:t>BALANCE - December 31, 2024</w:t>
            </w:r>
          </w:p>
        </w:tc>
        <w:tc>
          <w:tcPr>
            <w:tcW w:w="1180" w:type="dxa"/>
            <w:vAlign w:val="bottom"/>
          </w:tcPr>
          <w:p>
            <w:pPr>
              <w:jc w:val="right"/>
              <w:spacing w:after="0"/>
              <w:rPr>
                <w:sz w:val="20"/>
                <w:szCs w:val="20"/>
                <w:color w:val="auto"/>
              </w:rPr>
            </w:pPr>
            <w:r>
              <w:rPr>
                <w:rFonts w:ascii="Arial" w:cs="Arial" w:eastAsia="Arial" w:hAnsi="Arial"/>
                <w:sz w:val="18"/>
                <w:szCs w:val="18"/>
                <w:color w:val="auto"/>
              </w:rPr>
              <w:t>56,644,655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570,361</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(487,107)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83,285</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85,274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490,000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Surrender of shares for taxes</w:t>
            </w:r>
          </w:p>
        </w:tc>
        <w:tc>
          <w:tcPr>
            <w:tcW w:w="1180" w:type="dxa"/>
            <w:vAlign w:val="bottom"/>
          </w:tcPr>
          <w:p>
            <w:pPr>
              <w:jc w:val="right"/>
              <w:spacing w:after="0"/>
              <w:rPr>
                <w:sz w:val="20"/>
                <w:szCs w:val="20"/>
                <w:color w:val="auto"/>
              </w:rPr>
            </w:pPr>
            <w:r>
              <w:rPr>
                <w:rFonts w:ascii="Arial" w:cs="Arial" w:eastAsia="Arial" w:hAnsi="Arial"/>
                <w:sz w:val="18"/>
                <w:szCs w:val="18"/>
                <w:color w:val="auto"/>
              </w:rPr>
              <w:t>(150,810)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Issuance of common stock related to ESPP</w:t>
            </w:r>
          </w:p>
        </w:tc>
        <w:tc>
          <w:tcPr>
            <w:tcW w:w="1180" w:type="dxa"/>
            <w:vAlign w:val="bottom"/>
          </w:tcPr>
          <w:p>
            <w:pPr>
              <w:jc w:val="right"/>
              <w:spacing w:after="0"/>
              <w:rPr>
                <w:sz w:val="20"/>
                <w:szCs w:val="20"/>
                <w:color w:val="auto"/>
              </w:rPr>
            </w:pPr>
            <w:r>
              <w:rPr>
                <w:rFonts w:ascii="Arial" w:cs="Arial" w:eastAsia="Arial" w:hAnsi="Arial"/>
                <w:sz w:val="18"/>
                <w:szCs w:val="18"/>
                <w:color w:val="auto"/>
              </w:rPr>
              <w:t>24,741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44,197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Unrealized gains (loss) on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4"/>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22,367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300" w:type="dxa"/>
            <w:vAlign w:val="bottom"/>
          </w:tcPr>
          <w:p>
            <w:pPr>
              <w:spacing w:after="0"/>
              <w:rPr>
                <w:sz w:val="20"/>
                <w:szCs w:val="20"/>
                <w:color w:val="auto"/>
              </w:rPr>
            </w:pPr>
            <w:r>
              <w:rPr>
                <w:rFonts w:ascii="Arial" w:cs="Arial" w:eastAsia="Arial" w:hAnsi="Arial"/>
                <w:sz w:val="18"/>
                <w:szCs w:val="18"/>
                <w:b w:val="1"/>
                <w:bCs w:val="1"/>
                <w:color w:val="auto"/>
              </w:rPr>
              <w:t>BALANCE - December 31, 2025</w:t>
            </w:r>
          </w:p>
        </w:tc>
        <w:tc>
          <w:tcPr>
            <w:tcW w:w="1180" w:type="dxa"/>
            <w:vAlign w:val="bottom"/>
          </w:tcPr>
          <w:p>
            <w:pPr>
              <w:jc w:val="right"/>
              <w:spacing w:after="0"/>
              <w:rPr>
                <w:sz w:val="20"/>
                <w:szCs w:val="20"/>
                <w:color w:val="auto"/>
              </w:rPr>
            </w:pPr>
            <w:r>
              <w:rPr>
                <w:rFonts w:ascii="Arial" w:cs="Arial" w:eastAsia="Arial" w:hAnsi="Arial"/>
                <w:sz w:val="18"/>
                <w:szCs w:val="18"/>
                <w:color w:val="auto"/>
              </w:rPr>
              <w:t>57,138,057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576,842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(464,740)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112,211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3367405</wp:posOffset>
                </wp:positionH>
                <wp:positionV relativeFrom="paragraph">
                  <wp:posOffset>-3519170</wp:posOffset>
                </wp:positionV>
                <wp:extent cx="153098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98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15pt,-277.0999pt" to="385.7pt,-277.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3367405</wp:posOffset>
                </wp:positionH>
                <wp:positionV relativeFrom="paragraph">
                  <wp:posOffset>-3332480</wp:posOffset>
                </wp:positionV>
                <wp:extent cx="74676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15pt,-262.3999pt" to="323.95pt,-26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4151630</wp:posOffset>
                </wp:positionH>
                <wp:positionV relativeFrom="paragraph">
                  <wp:posOffset>-3332480</wp:posOffset>
                </wp:positionV>
                <wp:extent cx="74676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9pt,-262.3999pt" to="385.7pt,-26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4935855</wp:posOffset>
                </wp:positionH>
                <wp:positionV relativeFrom="paragraph">
                  <wp:posOffset>-3332480</wp:posOffset>
                </wp:positionV>
                <wp:extent cx="74676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5pt,-262.3999pt" to="447.45pt,-26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5720080</wp:posOffset>
                </wp:positionH>
                <wp:positionV relativeFrom="paragraph">
                  <wp:posOffset>-3332480</wp:posOffset>
                </wp:positionV>
                <wp:extent cx="74676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4pt,-262.3999pt" to="509.2pt,-26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6504305</wp:posOffset>
                </wp:positionH>
                <wp:positionV relativeFrom="paragraph">
                  <wp:posOffset>-3332480</wp:posOffset>
                </wp:positionV>
                <wp:extent cx="74676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15pt,-262.3999pt" to="570.95pt,-26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7287895</wp:posOffset>
                </wp:positionH>
                <wp:positionV relativeFrom="paragraph">
                  <wp:posOffset>-3332480</wp:posOffset>
                </wp:positionV>
                <wp:extent cx="69088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85pt,-262.3999pt" to="628.25pt,-26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3367405</wp:posOffset>
                </wp:positionH>
                <wp:positionV relativeFrom="paragraph">
                  <wp:posOffset>-1689100</wp:posOffset>
                </wp:positionV>
                <wp:extent cx="74676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15pt,-133pt" to="323.95pt,-1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4151630</wp:posOffset>
                </wp:positionH>
                <wp:positionV relativeFrom="paragraph">
                  <wp:posOffset>-1689100</wp:posOffset>
                </wp:positionV>
                <wp:extent cx="74676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9pt,-133pt" to="385.7pt,-1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4935855</wp:posOffset>
                </wp:positionH>
                <wp:positionV relativeFrom="paragraph">
                  <wp:posOffset>-1689100</wp:posOffset>
                </wp:positionV>
                <wp:extent cx="74676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5pt,-133pt" to="447.45pt,-1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5720080</wp:posOffset>
                </wp:positionH>
                <wp:positionV relativeFrom="paragraph">
                  <wp:posOffset>-1689100</wp:posOffset>
                </wp:positionV>
                <wp:extent cx="74676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4pt,-133pt" to="509.2pt,-1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6504305</wp:posOffset>
                </wp:positionH>
                <wp:positionV relativeFrom="paragraph">
                  <wp:posOffset>-1689100</wp:posOffset>
                </wp:positionV>
                <wp:extent cx="74676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15pt,-133pt" to="570.95pt,-1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7287895</wp:posOffset>
                </wp:positionH>
                <wp:positionV relativeFrom="paragraph">
                  <wp:posOffset>-1689100</wp:posOffset>
                </wp:positionV>
                <wp:extent cx="69088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85pt,-133pt" to="628.25pt,-13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3367405</wp:posOffset>
                </wp:positionH>
                <wp:positionV relativeFrom="paragraph">
                  <wp:posOffset>-205105</wp:posOffset>
                </wp:positionV>
                <wp:extent cx="74676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15pt,-16.1499pt" to="323.95pt,-16.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4151630</wp:posOffset>
                </wp:positionH>
                <wp:positionV relativeFrom="paragraph">
                  <wp:posOffset>-205105</wp:posOffset>
                </wp:positionV>
                <wp:extent cx="74676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9pt,-16.1499pt" to="385.7pt,-16.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4935855</wp:posOffset>
                </wp:positionH>
                <wp:positionV relativeFrom="paragraph">
                  <wp:posOffset>-205105</wp:posOffset>
                </wp:positionV>
                <wp:extent cx="74676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65pt,-16.1499pt" to="447.45pt,-16.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5720080</wp:posOffset>
                </wp:positionH>
                <wp:positionV relativeFrom="paragraph">
                  <wp:posOffset>-205105</wp:posOffset>
                </wp:positionV>
                <wp:extent cx="7467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4pt,-16.1499pt" to="509.2pt,-16.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6504305</wp:posOffset>
                </wp:positionH>
                <wp:positionV relativeFrom="paragraph">
                  <wp:posOffset>-205105</wp:posOffset>
                </wp:positionV>
                <wp:extent cx="74676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15pt,-16.1499pt" to="570.95pt,-16.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7287895</wp:posOffset>
                </wp:positionH>
                <wp:positionV relativeFrom="paragraph">
                  <wp:posOffset>-205105</wp:posOffset>
                </wp:positionV>
                <wp:extent cx="69088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85pt,-16.1499pt" to="628.25pt,-16.1499pt" o:allowincell="f" strokecolor="#000000" strokeweight="0pt"/>
            </w:pict>
          </mc:Fallback>
        </mc:AlternateContent>
        <w:drawing>
          <wp:anchor simplePos="0" relativeHeight="251657728" behindDoc="1" locked="0" layoutInCell="0" allowOverlap="1">
            <wp:simplePos x="0" y="0"/>
            <wp:positionH relativeFrom="column">
              <wp:posOffset>-41910</wp:posOffset>
            </wp:positionH>
            <wp:positionV relativeFrom="paragraph">
              <wp:posOffset>-3344545</wp:posOffset>
            </wp:positionV>
            <wp:extent cx="8034655" cy="3351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extLst>
                    </a:blip>
                    <a:srcRect/>
                    <a:stretch>
                      <a:fillRect/>
                    </a:stretch>
                  </pic:blipFill>
                  <pic:spPr bwMode="auto">
                    <a:xfrm>
                      <a:off x="0" y="0"/>
                      <a:ext cx="803465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5480" w:h="11880" w:orient="landscape"/>
          <w:cols w:equalWidth="0" w:num="2">
            <w:col w:w="518" w:space="720"/>
            <w:col w:w="12560"/>
          </w:cols>
          <w:pgMar w:left="402" w:top="714" w:right="128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2"/>
          <w:szCs w:val="22"/>
          <w:b w:val="1"/>
          <w:bCs w:val="1"/>
          <w:color w:val="auto"/>
        </w:rPr>
        <w:t>Black Diamond Therapeutics, Inc.</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30"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NATURE OF BUSINESS AND BASIS OF PRESENTATION</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Black Diamond Therapeutics, Inc. (the Company) is a clinical-stage oncology company developing MasterKey therapies that target families of oncogenic mutations in patients with cancer. The Company was originally organized as a limited liability company in December 2014 under the name ASET Therapeutics LLC. In September 2016, the Company was converted to a corporation under the laws of the State of Delaware under the name ASET Therapeutics, Inc. The Company changed its name to Black Diamond Therapeutics, Inc. in January 2018. Since its inception, the Company has devoted substantially all of its efforts to raising capital, obtaining financing and incurring research and development costs related to the development and advancement of its product candidates identified by its Mutation-Allostery-Pharmacology (MAP) drug discovery engine.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The Company is subject to risks and uncertainties common to clinical-stage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On March 18, 2025, the Company entered into a global licensing agreement (the Servier Agreement) with Servier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Pharmaceuticals LLC (Servier) for BDTX-4933, a small molecule designed by the Company to address unmet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medical needs in RAF/RAS-mutant solid tumors, pursuant to which the Company granted to Servier a worldwide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license to develop and commercialize BDTX-4933. Under the terms of the Servier Agreement, Servier will lead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development activities and the worldwide commercialization of BDTX-4933 across multiple indications, including</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non-small cell lung cancer (NSCLC), with potential applications in other solid tumors. Under the Servier Agreement,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received an upfront payment of $70.0 million in March 2025 and will be eligible to receive up to</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$710.0 million in development and commercial sales milestone payments, along with tiered royalties based on global</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net sales. The Servier Agreement is discussed in greater detail in Note 15, </w:t>
      </w:r>
      <w:r>
        <w:rPr>
          <w:rFonts w:ascii="Arial" w:cs="Arial" w:eastAsia="Arial" w:hAnsi="Arial"/>
          <w:sz w:val="22"/>
          <w:szCs w:val="22"/>
          <w:b w:val="1"/>
          <w:bCs w:val="1"/>
          <w:i w:val="1"/>
          <w:iCs w:val="1"/>
          <w:color w:val="auto"/>
        </w:rPr>
        <w:t>License Revenue</w:t>
      </w:r>
      <w:r>
        <w:rPr>
          <w:rFonts w:ascii="Arial" w:cs="Arial" w:eastAsia="Arial" w:hAnsi="Arial"/>
          <w:sz w:val="22"/>
          <w:szCs w:val="22"/>
          <w:color w:val="auto"/>
        </w:rPr>
        <w:t>.</w:t>
      </w:r>
    </w:p>
    <w:p>
      <w:pPr>
        <w:spacing w:after="0" w:line="200"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On November 14, 2022, the Company filed a shelf registration statement on Form S-3, including a base prospectus and sales agreement prospectus (the Prior Shelf Registration Statement), with the SEC, which covered the offering, issuance and sale of the Company’s common stock, preferred stock, debt securities, warrants and/or units of any combination thereof up to a maximum price of $500.0 million. The Company simultaneously entered into an Open Market Sale Agreement</w:t>
      </w:r>
      <w:r>
        <w:rPr>
          <w:rFonts w:ascii="Arial" w:cs="Arial" w:eastAsia="Arial" w:hAnsi="Arial"/>
          <w:sz w:val="25"/>
          <w:szCs w:val="25"/>
          <w:color w:val="auto"/>
          <w:vertAlign w:val="superscript"/>
        </w:rPr>
        <w:t>SM</w:t>
      </w:r>
      <w:r>
        <w:rPr>
          <w:rFonts w:ascii="Arial" w:cs="Arial" w:eastAsia="Arial" w:hAnsi="Arial"/>
          <w:sz w:val="19"/>
          <w:szCs w:val="19"/>
          <w:color w:val="auto"/>
        </w:rPr>
        <w:t xml:space="preserve"> (the Sales Agreement) with Jefferies LLC (Jefferies), as sales agent, to provide for the issuance and sale by the Company of up to $150.0 million of its common stock, or the Shares, from time to time through Jefferies as its sales agent (the ATM Program). The Prior Shelf Registration Statement became effective on November 22, 2022. Upon delivery of a placement notice and subject to the terms and conditions of the Sales Agreement, Jefferies may sell the Shares by any method permitted by law deemed to be an “at the market offering” as defined in Rule 415(a)(4) promulgated under the Securities Act. The Company may sell the Shares in amounts and at times to be determined by the Company from time to time subject to the terms and conditions of the Sales Agreement, but the Company has no obligation to sell any Shares under the Sales Agreement. The Company or Jefferies may suspend or terminate the offering of Shares upon notice to the other party and subject to other conditions.</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138</w:t>
      </w:r>
    </w:p>
    <w:p>
      <w:pPr>
        <w:sectPr>
          <w:pgSz w:w="11880" w:h="15480" w:orient="portrait"/>
          <w:cols w:equalWidth="0" w:num="1">
            <w:col w:w="10240"/>
          </w:cols>
          <w:pgMar w:left="820" w:top="670" w:right="820" w:bottom="0" w:gutter="0" w:footer="0" w:header="0"/>
          <w:type w:val="continuous"/>
        </w:sectPr>
      </w:pPr>
    </w:p>
    <w:bookmarkStart w:id="142" w:name="page143"/>
    <w:bookmarkEnd w:id="142"/>
    <w:p>
      <w:pPr>
        <w:ind w:right="40"/>
        <w:spacing w:after="0" w:line="282" w:lineRule="auto"/>
        <w:rPr>
          <w:sz w:val="20"/>
          <w:szCs w:val="20"/>
          <w:color w:val="auto"/>
        </w:rPr>
      </w:pPr>
      <w:r>
        <w:rPr>
          <w:rFonts w:ascii="Arial" w:cs="Arial" w:eastAsia="Arial" w:hAnsi="Arial"/>
          <w:sz w:val="19"/>
          <w:szCs w:val="19"/>
          <w:color w:val="auto"/>
        </w:rPr>
        <w:t>On November 14, 2022, the Company entered into an Open Market Sale Agreement</w:t>
      </w:r>
      <w:r>
        <w:rPr>
          <w:rFonts w:ascii="Arial" w:cs="Arial" w:eastAsia="Arial" w:hAnsi="Arial"/>
          <w:sz w:val="25"/>
          <w:szCs w:val="25"/>
          <w:color w:val="auto"/>
          <w:vertAlign w:val="superscript"/>
        </w:rPr>
        <w:t>SM</w:t>
      </w:r>
      <w:r>
        <w:rPr>
          <w:rFonts w:ascii="Arial" w:cs="Arial" w:eastAsia="Arial" w:hAnsi="Arial"/>
          <w:sz w:val="19"/>
          <w:szCs w:val="19"/>
          <w:color w:val="auto"/>
        </w:rPr>
        <w:t xml:space="preserve"> (the Sales Agreement) with Jefferies LLC (Jefferies), as sales agent, to provide for the issuance and sale by the Company of up to $150.0 million of its common stock, or the Shares, from time to time through Jefferies as its sales agent (the ATM Program). Upon delivery of a placement notice and subject to the terms and conditions of the Sales Agreement, Jefferies may sell the Shares by any method permitted by law deemed to be an “at the market offering” as defined in Rule 415(a)(4) promulgated under the Securities Act. The Company may sell the Shares in amounts and at times to be determined by the Company from time to time subject to the terms and conditions of the Sales Agreement, but the Company has no obligation to sell any Shares under the Sales Agreement. The Company or Jefferies may suspend or terminate the offering of Shares upon notice to the other party and subject to other conditions As of December 31, 2025, the Company sold 4,490,853 shares of its common stock pursuant to the ATM Program, resulting in gross proceeds to the Company of approximately $25.0 million ($24.5 million net of offering costs).</w:t>
      </w:r>
    </w:p>
    <w:p>
      <w:pPr>
        <w:spacing w:after="0" w:line="176" w:lineRule="exact"/>
        <w:rPr>
          <w:sz w:val="20"/>
          <w:szCs w:val="20"/>
          <w:color w:val="auto"/>
        </w:rPr>
      </w:pPr>
    </w:p>
    <w:p>
      <w:pPr>
        <w:ind w:right="260"/>
        <w:spacing w:after="0" w:line="280" w:lineRule="auto"/>
        <w:rPr>
          <w:sz w:val="20"/>
          <w:szCs w:val="20"/>
          <w:color w:val="auto"/>
        </w:rPr>
      </w:pPr>
      <w:r>
        <w:rPr>
          <w:rFonts w:ascii="Arial" w:cs="Arial" w:eastAsia="Arial" w:hAnsi="Arial"/>
          <w:sz w:val="20"/>
          <w:szCs w:val="20"/>
          <w:color w:val="auto"/>
        </w:rPr>
        <w:t>The accompanying consolidated financial statements have been prepared on the basis of continuity of operations, realization of assets, and the satisfaction of liabilities and commitments in the ordinary course of business. Historically, the Company has funded its operations primarily with proceeds from the sale of common stock and preferred stock. The Company has had recurring losses and negative cash flows from operations in all periods since inception and had an accumulated deficit of $464.7 million as of December 31, 2025. The Company expects to continue to generate operating losses for the foreseeable future.</w:t>
      </w:r>
    </w:p>
    <w:p>
      <w:pPr>
        <w:spacing w:after="0" w:line="178" w:lineRule="exact"/>
        <w:rPr>
          <w:sz w:val="20"/>
          <w:szCs w:val="20"/>
          <w:color w:val="auto"/>
        </w:rPr>
      </w:pPr>
    </w:p>
    <w:p>
      <w:pPr>
        <w:ind w:right="220"/>
        <w:spacing w:after="0" w:line="296" w:lineRule="auto"/>
        <w:rPr>
          <w:sz w:val="20"/>
          <w:szCs w:val="20"/>
          <w:color w:val="auto"/>
        </w:rPr>
      </w:pPr>
      <w:r>
        <w:rPr>
          <w:rFonts w:ascii="Arial" w:cs="Arial" w:eastAsia="Arial" w:hAnsi="Arial"/>
          <w:sz w:val="20"/>
          <w:szCs w:val="20"/>
          <w:color w:val="auto"/>
        </w:rPr>
        <w:t>As of March 16, 2026, the issuance date of the consolidated financial statements, the Company expects that its cash, cash equivalents and investments will be sufficient to fund its currently planned operations for at least the next 12 months from the filing date of these audited consolidated financial statements.</w:t>
      </w:r>
    </w:p>
    <w:p>
      <w:pPr>
        <w:spacing w:after="0" w:line="160"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The Company will seek additional funding through private or public equity financings, debt financings, collaborations, strategic alliances and marketing, distribution or licensing arrangements.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portfolio expansion or commercialization efforts, or reduce headcount and general and administrative costs,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250" w:lineRule="exact"/>
        <w:rPr>
          <w:sz w:val="20"/>
          <w:szCs w:val="20"/>
          <w:color w:val="auto"/>
        </w:rPr>
      </w:pPr>
    </w:p>
    <w:p>
      <w:pPr>
        <w:ind w:right="160"/>
        <w:spacing w:after="0" w:line="254" w:lineRule="auto"/>
        <w:rPr>
          <w:sz w:val="20"/>
          <w:szCs w:val="20"/>
          <w:color w:val="auto"/>
        </w:rPr>
      </w:pPr>
      <w:r>
        <w:rPr>
          <w:rFonts w:ascii="Arial" w:cs="Arial" w:eastAsia="Arial" w:hAnsi="Arial"/>
          <w:sz w:val="22"/>
          <w:szCs w:val="22"/>
          <w:color w:val="auto"/>
        </w:rPr>
        <w:t>The accompanying consolidated financial statements have been prepared in accordance with accounting principles generally accepted in the United States of America (GAAP) and include the accounts of the Company and its wholly owned subsidiary, Black Diamond Therapeutics Security Corporation, after elimination of all significant intercompany accounts and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50"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The preparation of the Company’s consolidated financial statements in conformity with GAAP requires management to make estimates and assumptions that affect the reported amounts of assets and liabilities and the reported amounts of expenses during the reporting periods. Significant estimates and assumptions reflected in these consolidated financial statements include, but are not limited to, the accrual of research and development expenses and the valuation of stock-based awards. The Company bases its estimates on historical experience, known trends and other market-specific or other relevant factors that it believes to be reasonable under the circumstances. Estimates are periodically reviewed in light of changes in circumstances, facts and experience. Changes in estimates are recorded in the period in which they become known. Actual results may differ from those estimates or assumptions.</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139</w:t>
      </w:r>
    </w:p>
    <w:p>
      <w:pPr>
        <w:sectPr>
          <w:pgSz w:w="11880" w:h="15480" w:orient="portrait"/>
          <w:cols w:equalWidth="0" w:num="1">
            <w:col w:w="10240"/>
          </w:cols>
          <w:pgMar w:left="820" w:top="678" w:right="820" w:bottom="0" w:gutter="0" w:footer="0" w:header="0"/>
          <w:type w:val="continuous"/>
        </w:sectPr>
      </w:pPr>
    </w:p>
    <w:bookmarkStart w:id="143" w:name="page144"/>
    <w:bookmarkEnd w:id="143"/>
    <w:p>
      <w:pPr>
        <w:ind w:right="20"/>
        <w:spacing w:after="0" w:line="290" w:lineRule="auto"/>
        <w:rPr>
          <w:sz w:val="20"/>
          <w:szCs w:val="20"/>
          <w:color w:val="auto"/>
        </w:rPr>
      </w:pPr>
      <w:r>
        <w:rPr>
          <w:rFonts w:ascii="Arial" w:cs="Arial" w:eastAsia="Arial" w:hAnsi="Arial"/>
          <w:sz w:val="19"/>
          <w:szCs w:val="19"/>
          <w:color w:val="auto"/>
        </w:rPr>
        <w:t>The Company continues to monitor the impact of macroeconomic developments and geopolitical developments, including political unrest, new or increased international tariffs and retaliatory tariffs, economic sanctions, high inflation, disruptions in capital markets, changes in or disruptions of U.S. governmental agencies whether from a continued U.S. federal government shutdown or reduced resources, new laws and regulations or amendments to existing laws and regulations in the U.S. and foreign countries, international trade relationships and military conflicts, on all aspects of its business, and has considered the impact of these factors on estimates within its financial statements. The extent to which future developments may impact the Company’s business, results of operations or financial condition are uncertain and cannot be predicted with confidence and there may be changes to estimates in future periods. As of the date of issuance of these consolidated financial statements, the Company has not experienced material business disruptions or incurred impairment losses in the carrying value of its assets as a result of these factors and is not aware of any specific related event or circumstance that would require it to update its estimates.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Subsequent events</w:t>
      </w:r>
    </w:p>
    <w:p>
      <w:pPr>
        <w:spacing w:after="0" w:line="250" w:lineRule="exact"/>
        <w:rPr>
          <w:sz w:val="20"/>
          <w:szCs w:val="20"/>
          <w:color w:val="auto"/>
        </w:rPr>
      </w:pPr>
    </w:p>
    <w:p>
      <w:pPr>
        <w:jc w:val="both"/>
        <w:ind w:right="420"/>
        <w:spacing w:after="0" w:line="258" w:lineRule="auto"/>
        <w:rPr>
          <w:sz w:val="20"/>
          <w:szCs w:val="20"/>
          <w:color w:val="auto"/>
        </w:rPr>
      </w:pPr>
      <w:r>
        <w:rPr>
          <w:rFonts w:ascii="Arial" w:cs="Arial" w:eastAsia="Arial" w:hAnsi="Arial"/>
          <w:sz w:val="22"/>
          <w:szCs w:val="22"/>
          <w:color w:val="auto"/>
        </w:rPr>
        <w:t>The Company considers events or transactions that occur after the balance sheet date but before the final financial statements are issued to provide additional evidence relative to certain estimates or to identify matters that require additional disclosure.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50" w:lineRule="exact"/>
        <w:rPr>
          <w:sz w:val="20"/>
          <w:szCs w:val="20"/>
          <w:color w:val="auto"/>
        </w:rPr>
      </w:pPr>
    </w:p>
    <w:p>
      <w:pPr>
        <w:ind w:right="140"/>
        <w:spacing w:after="0" w:line="254" w:lineRule="auto"/>
        <w:rPr>
          <w:sz w:val="20"/>
          <w:szCs w:val="20"/>
          <w:color w:val="auto"/>
        </w:rPr>
      </w:pPr>
      <w:r>
        <w:rPr>
          <w:rFonts w:ascii="Arial" w:cs="Arial" w:eastAsia="Arial" w:hAnsi="Arial"/>
          <w:sz w:val="22"/>
          <w:szCs w:val="22"/>
          <w:color w:val="auto"/>
        </w:rPr>
        <w:t>The Company classifies deposits in banks, money market funds and cash invested temporarily in various instruments with maturities of three months or less at the time of purchase as cash and cash equivalents. At December 31, 2025 and 2024, cash and cash equivalents includes cash on deposit at commercial banks and a money market fund that invests in U.S. Government securities.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Investments</w:t>
      </w: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Investments consist of marketable securities with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w:t>
      </w:r>
    </w:p>
    <w:p>
      <w:pPr>
        <w:spacing w:after="0" w:line="181" w:lineRule="exact"/>
        <w:rPr>
          <w:sz w:val="20"/>
          <w:szCs w:val="20"/>
          <w:color w:val="auto"/>
        </w:rPr>
      </w:pPr>
    </w:p>
    <w:p>
      <w:pPr>
        <w:ind w:right="40"/>
        <w:spacing w:after="0" w:line="296" w:lineRule="auto"/>
        <w:rPr>
          <w:sz w:val="20"/>
          <w:szCs w:val="20"/>
          <w:color w:val="auto"/>
        </w:rPr>
      </w:pPr>
      <w:r>
        <w:rPr>
          <w:rFonts w:ascii="Arial" w:cs="Arial" w:eastAsia="Arial" w:hAnsi="Arial"/>
          <w:sz w:val="20"/>
          <w:szCs w:val="20"/>
          <w:color w:val="auto"/>
        </w:rPr>
        <w:t>If any adjustment to fair value reflects a decline in value of the investment, the Company considers all available evidence to evaluate the extent to which the decline is other than temporary and, if so, marks the investment to market on the Company’s consolidated statements of operations and comprehensive loss.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method investment</w:t>
      </w:r>
    </w:p>
    <w:p>
      <w:pPr>
        <w:spacing w:after="0" w:line="25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Company utilizes the equity method to account for an investment when it possesses the ability to exercise significant influence, but not control, over the operating and financial decisions of the investee. Generally, the ability to exercise significant influence is presumed when the investor possesses more than 20% of the voting interests of the investee. This presumption may be overcome based on specific facts and circumstances that demonstrate that the ability to exercise significant influence is not present. The Company applies the equity method to an investment in common stock of a nonconsolidated entity.</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140</w:t>
      </w:r>
    </w:p>
    <w:p>
      <w:pPr>
        <w:sectPr>
          <w:pgSz w:w="11880" w:h="15480" w:orient="portrait"/>
          <w:cols w:equalWidth="0" w:num="1">
            <w:col w:w="10240"/>
          </w:cols>
          <w:pgMar w:left="820" w:top="678" w:right="820" w:bottom="0" w:gutter="0" w:footer="0" w:header="0"/>
          <w:type w:val="continuous"/>
        </w:sectPr>
      </w:pPr>
    </w:p>
    <w:bookmarkStart w:id="144" w:name="page145"/>
    <w:bookmarkEnd w:id="144"/>
    <w:p>
      <w:pPr>
        <w:spacing w:after="0" w:line="278" w:lineRule="auto"/>
        <w:rPr>
          <w:sz w:val="20"/>
          <w:szCs w:val="20"/>
          <w:color w:val="auto"/>
        </w:rPr>
      </w:pPr>
      <w:r>
        <w:rPr>
          <w:rFonts w:ascii="Arial" w:cs="Arial" w:eastAsia="Arial" w:hAnsi="Arial"/>
          <w:sz w:val="20"/>
          <w:szCs w:val="20"/>
          <w:color w:val="auto"/>
        </w:rPr>
        <w:t>In applying the equity method, the Company’s investment was initially recorded at fair value on the consolidated balance sheet. The Company contributed IPR&amp;D in exchange for its investment, so it also recognized a gain on sale of IPR&amp;D in the consolidated statements of operations and comprehensive loss on the transaction date. The Company subsequently adjusted the carrying amount of the investment by the Company’s proportionate share of the net losses of the investee based on the Company’s percentage of common stock ownership during the reporting period. The Company recorded its share of the losses of the investee as losses from investment in equity method investee in the consolidated statements of operations and comprehensive loss.</w:t>
      </w:r>
    </w:p>
    <w:p>
      <w:pPr>
        <w:spacing w:after="0" w:line="182" w:lineRule="exact"/>
        <w:rPr>
          <w:sz w:val="20"/>
          <w:szCs w:val="20"/>
          <w:color w:val="auto"/>
        </w:rPr>
      </w:pPr>
    </w:p>
    <w:p>
      <w:pPr>
        <w:ind w:right="340"/>
        <w:spacing w:after="0" w:line="254" w:lineRule="auto"/>
        <w:rPr>
          <w:sz w:val="20"/>
          <w:szCs w:val="20"/>
          <w:color w:val="auto"/>
        </w:rPr>
      </w:pPr>
      <w:r>
        <w:rPr>
          <w:rFonts w:ascii="Arial" w:cs="Arial" w:eastAsia="Arial" w:hAnsi="Arial"/>
          <w:sz w:val="22"/>
          <w:szCs w:val="22"/>
          <w:color w:val="auto"/>
        </w:rPr>
        <w:t>The Company then evaluated whether there was a basis difference between the carrying value and fair value of the Company’s proportionate share of the investee’s underlying net assets. The investee was not deemed a business as defined in ASC 805 – Business Combinations, so the Company immediately expensed the basis difference to the extent it related to IPR&amp;D.</w:t>
      </w:r>
    </w:p>
    <w:p>
      <w:pPr>
        <w:spacing w:after="0" w:line="199" w:lineRule="exact"/>
        <w:rPr>
          <w:sz w:val="20"/>
          <w:szCs w:val="20"/>
          <w:color w:val="auto"/>
        </w:rPr>
      </w:pPr>
    </w:p>
    <w:p>
      <w:pPr>
        <w:ind w:right="100"/>
        <w:spacing w:after="0" w:line="278" w:lineRule="auto"/>
        <w:rPr>
          <w:sz w:val="20"/>
          <w:szCs w:val="20"/>
          <w:color w:val="auto"/>
        </w:rPr>
      </w:pPr>
      <w:r>
        <w:rPr>
          <w:rFonts w:ascii="Arial" w:cs="Arial" w:eastAsia="Arial" w:hAnsi="Arial"/>
          <w:sz w:val="20"/>
          <w:szCs w:val="20"/>
          <w:color w:val="auto"/>
        </w:rPr>
        <w:t>The Company is not obligated to make additional capital contributions for its equity method investment and does not have guaranteed obligations or additional financial support requirements to the investee. Therefore, it only recorded losses up to the amount of its total investment. The Company’s share of losses of the equity method investee on a cumulative basis exceeded its total investment amount, so the Company discontinued equity method loss recognition. The Company will resume recording its share of losses in future periods if the investee subsequently reports net income and the Company’s share of the earnings of the equity method investee equals the Company’s share of losses not recognized during the suspended period.</w:t>
      </w:r>
    </w:p>
    <w:p>
      <w:pPr>
        <w:spacing w:after="0" w:line="182" w:lineRule="exact"/>
        <w:rPr>
          <w:sz w:val="20"/>
          <w:szCs w:val="20"/>
          <w:color w:val="auto"/>
        </w:rPr>
      </w:pPr>
    </w:p>
    <w:p>
      <w:pPr>
        <w:ind w:right="220"/>
        <w:spacing w:after="0" w:line="278" w:lineRule="auto"/>
        <w:rPr>
          <w:sz w:val="20"/>
          <w:szCs w:val="20"/>
          <w:color w:val="auto"/>
        </w:rPr>
      </w:pPr>
      <w:r>
        <w:rPr>
          <w:rFonts w:ascii="Arial" w:cs="Arial" w:eastAsia="Arial" w:hAnsi="Arial"/>
          <w:sz w:val="20"/>
          <w:szCs w:val="20"/>
          <w:color w:val="auto"/>
        </w:rPr>
        <w:t>Equity method investments are reviewed for indicators of other-than-temporary impairment at each reporting period and are written down to fair value if there is evidence of a loss in value that is other-than-temporary. The Company presents income/losses from equity investments and any impairment related to equity method investments as losses from investments in equity method investees on the consolidated statements of operations and comprehensive loss. The carrying value of the Company’s equity method investment was zero as of December 31, 2025, therefore, an impairment assessment is not required. See Note 6 to our consolidated audited financial statements for additional information on the Company’s equity method investment.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cash</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In connection with its operating lease commitments, the Company maintains certain balances for security deposits that are classified as restricted cash on the consolidated balance sheets. As of December 31, 2025 and 2024, the Company had $829 and $819, respectively, of restricted cash, which has been classified as a non-current asset on the consolidated balance sheet.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Concentrations of credit risk</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Financial instruments that potentially expose the Company to concentrations of credit risk consist primarily of cash, cash equivalents and marketable securities. The Company maintains accounts for all cash and cash equivalents at accredited financial institutions, in amounts that exceed federally insured limits. The Company does not believe that it is subject to unusual credit risk beyond the normal credit risk associated with commercial banking relationships.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Property and equipment</w:t>
      </w:r>
    </w:p>
    <w:p>
      <w:pPr>
        <w:spacing w:after="0" w:line="250" w:lineRule="exact"/>
        <w:rPr>
          <w:sz w:val="20"/>
          <w:szCs w:val="20"/>
          <w:color w:val="auto"/>
        </w:rPr>
      </w:pPr>
    </w:p>
    <w:p>
      <w:pPr>
        <w:ind w:right="100"/>
        <w:spacing w:after="0" w:line="271" w:lineRule="auto"/>
        <w:rPr>
          <w:sz w:val="20"/>
          <w:szCs w:val="20"/>
          <w:color w:val="auto"/>
        </w:rPr>
      </w:pPr>
      <w:r>
        <w:rPr>
          <w:rFonts w:ascii="Arial" w:cs="Arial" w:eastAsia="Arial" w:hAnsi="Arial"/>
          <w:sz w:val="22"/>
          <w:szCs w:val="22"/>
          <w:color w:val="auto"/>
        </w:rPr>
        <w:t>Property and equipment are recorded at cost less accumulated depreciation. Depreciation expense is recognized using the straight-line method over the estimated useful life of each asset as follows:</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77"/>
        </w:trPr>
        <w:tc>
          <w:tcPr>
            <w:tcW w:w="7900" w:type="dxa"/>
            <w:vAlign w:val="bottom"/>
          </w:tcPr>
          <w:p>
            <w:pPr>
              <w:spacing w:after="0"/>
              <w:rPr>
                <w:sz w:val="24"/>
                <w:szCs w:val="24"/>
                <w:color w:val="auto"/>
              </w:rPr>
            </w:pPr>
          </w:p>
        </w:tc>
        <w:tc>
          <w:tcPr>
            <w:tcW w:w="22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Estimated useful life</w:t>
            </w:r>
          </w:p>
        </w:tc>
        <w:tc>
          <w:tcPr>
            <w:tcW w:w="0" w:type="dxa"/>
            <w:vAlign w:val="bottom"/>
          </w:tcPr>
          <w:p>
            <w:pPr>
              <w:spacing w:after="0"/>
              <w:rPr>
                <w:sz w:val="1"/>
                <w:szCs w:val="1"/>
                <w:color w:val="auto"/>
              </w:rPr>
            </w:pPr>
          </w:p>
        </w:tc>
      </w:tr>
      <w:tr>
        <w:trPr>
          <w:trHeight w:val="287"/>
        </w:trPr>
        <w:tc>
          <w:tcPr>
            <w:tcW w:w="7900" w:type="dxa"/>
            <w:vAlign w:val="bottom"/>
          </w:tcPr>
          <w:p>
            <w:pPr>
              <w:spacing w:after="0"/>
              <w:rPr>
                <w:sz w:val="20"/>
                <w:szCs w:val="20"/>
                <w:color w:val="auto"/>
              </w:rPr>
            </w:pPr>
            <w:r>
              <w:rPr>
                <w:rFonts w:ascii="Arial" w:cs="Arial" w:eastAsia="Arial" w:hAnsi="Arial"/>
                <w:sz w:val="22"/>
                <w:szCs w:val="22"/>
                <w:color w:val="auto"/>
                <w:w w:val="90"/>
              </w:rPr>
              <w:t xml:space="preserve">Furniture and fixtures   </w:t>
            </w:r>
            <w:r>
              <w:rPr>
                <w:rFonts w:ascii="Arial" w:cs="Arial" w:eastAsia="Arial" w:hAnsi="Arial"/>
                <w:sz w:val="22"/>
                <w:szCs w:val="22"/>
                <w:color w:val="B4B4B4"/>
                <w:w w:val="90"/>
              </w:rPr>
              <w:t>..........................................................................................................</w:t>
            </w:r>
          </w:p>
        </w:tc>
        <w:tc>
          <w:tcPr>
            <w:tcW w:w="2280" w:type="dxa"/>
            <w:vAlign w:val="bottom"/>
          </w:tcPr>
          <w:p>
            <w:pPr>
              <w:jc w:val="right"/>
              <w:spacing w:after="0"/>
              <w:rPr>
                <w:sz w:val="20"/>
                <w:szCs w:val="20"/>
                <w:color w:val="auto"/>
              </w:rPr>
            </w:pPr>
            <w:r>
              <w:rPr>
                <w:rFonts w:ascii="Arial" w:cs="Arial" w:eastAsia="Arial" w:hAnsi="Arial"/>
                <w:sz w:val="22"/>
                <w:szCs w:val="22"/>
                <w:color w:val="auto"/>
              </w:rPr>
              <w:t>5 years</w:t>
            </w:r>
          </w:p>
        </w:tc>
        <w:tc>
          <w:tcPr>
            <w:tcW w:w="0" w:type="dxa"/>
            <w:vAlign w:val="bottom"/>
          </w:tcPr>
          <w:p>
            <w:pPr>
              <w:spacing w:after="0"/>
              <w:rPr>
                <w:sz w:val="1"/>
                <w:szCs w:val="1"/>
                <w:color w:val="auto"/>
              </w:rPr>
            </w:pPr>
          </w:p>
        </w:tc>
      </w:tr>
      <w:tr>
        <w:trPr>
          <w:trHeight w:val="235"/>
        </w:trPr>
        <w:tc>
          <w:tcPr>
            <w:tcW w:w="7900" w:type="dxa"/>
            <w:vAlign w:val="bottom"/>
            <w:vMerge w:val="restart"/>
          </w:tcPr>
          <w:p>
            <w:pPr>
              <w:spacing w:after="0"/>
              <w:rPr>
                <w:sz w:val="20"/>
                <w:szCs w:val="20"/>
                <w:color w:val="auto"/>
              </w:rPr>
            </w:pPr>
            <w:r>
              <w:rPr>
                <w:rFonts w:ascii="Arial" w:cs="Arial" w:eastAsia="Arial" w:hAnsi="Arial"/>
                <w:sz w:val="22"/>
                <w:szCs w:val="22"/>
                <w:color w:val="auto"/>
                <w:w w:val="88"/>
              </w:rPr>
              <w:t xml:space="preserve">Leasehold improvements </w:t>
            </w:r>
            <w:r>
              <w:rPr>
                <w:rFonts w:ascii="Arial" w:cs="Arial" w:eastAsia="Arial" w:hAnsi="Arial"/>
                <w:sz w:val="22"/>
                <w:szCs w:val="22"/>
                <w:color w:val="B4B4B4"/>
                <w:w w:val="88"/>
              </w:rPr>
              <w:t>.........................................................................................................</w:t>
            </w:r>
          </w:p>
        </w:tc>
        <w:tc>
          <w:tcPr>
            <w:tcW w:w="2280" w:type="dxa"/>
            <w:vAlign w:val="bottom"/>
          </w:tcPr>
          <w:p>
            <w:pPr>
              <w:jc w:val="right"/>
              <w:spacing w:after="0" w:line="234" w:lineRule="exact"/>
              <w:rPr>
                <w:sz w:val="20"/>
                <w:szCs w:val="20"/>
                <w:color w:val="auto"/>
              </w:rPr>
            </w:pPr>
            <w:r>
              <w:rPr>
                <w:rFonts w:ascii="Arial" w:cs="Arial" w:eastAsia="Arial" w:hAnsi="Arial"/>
                <w:sz w:val="22"/>
                <w:szCs w:val="22"/>
                <w:color w:val="auto"/>
                <w:w w:val="94"/>
              </w:rPr>
              <w:t>Shorter of the useful life</w:t>
            </w:r>
          </w:p>
        </w:tc>
        <w:tc>
          <w:tcPr>
            <w:tcW w:w="0" w:type="dxa"/>
            <w:vAlign w:val="bottom"/>
          </w:tcPr>
          <w:p>
            <w:pPr>
              <w:spacing w:after="0"/>
              <w:rPr>
                <w:sz w:val="1"/>
                <w:szCs w:val="1"/>
                <w:color w:val="auto"/>
              </w:rPr>
            </w:pPr>
          </w:p>
        </w:tc>
      </w:tr>
      <w:tr>
        <w:trPr>
          <w:trHeight w:val="280"/>
        </w:trPr>
        <w:tc>
          <w:tcPr>
            <w:tcW w:w="7900" w:type="dxa"/>
            <w:vAlign w:val="bottom"/>
            <w:vMerge w:val="continue"/>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2"/>
                <w:szCs w:val="22"/>
                <w:color w:val="auto"/>
                <w:w w:val="95"/>
              </w:rPr>
              <w:t>or remaining lease term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-527685</wp:posOffset>
            </wp:positionV>
            <wp:extent cx="6522085" cy="221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extLst>
                    </a:blip>
                    <a:srcRect/>
                    <a:stretch>
                      <a:fillRect/>
                    </a:stretch>
                  </pic:blipFill>
                  <pic:spPr bwMode="auto">
                    <a:xfrm>
                      <a:off x="0" y="0"/>
                      <a:ext cx="6522085" cy="221615"/>
                    </a:xfrm>
                    <a:prstGeom prst="rect">
                      <a:avLst/>
                    </a:prstGeom>
                    <a:noFill/>
                  </pic:spPr>
                </pic:pic>
              </a:graphicData>
            </a:graphic>
          </wp:anchor>
        </w:drawing>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141</w:t>
      </w:r>
    </w:p>
    <w:p>
      <w:pPr>
        <w:sectPr>
          <w:pgSz w:w="11880" w:h="15480" w:orient="portrait"/>
          <w:cols w:equalWidth="0" w:num="1">
            <w:col w:w="10240"/>
          </w:cols>
          <w:pgMar w:left="820" w:top="678" w:right="820" w:bottom="0" w:gutter="0" w:footer="0" w:header="0"/>
          <w:type w:val="continuous"/>
        </w:sectPr>
      </w:pPr>
    </w:p>
    <w:bookmarkStart w:id="145" w:name="page146"/>
    <w:bookmarkEnd w:id="145"/>
    <w:p>
      <w:pPr>
        <w:ind w:right="80"/>
        <w:spacing w:after="0" w:line="254" w:lineRule="auto"/>
        <w:rPr>
          <w:sz w:val="20"/>
          <w:szCs w:val="20"/>
          <w:color w:val="auto"/>
        </w:rPr>
      </w:pPr>
      <w:r>
        <w:rPr>
          <w:rFonts w:ascii="Arial" w:cs="Arial" w:eastAsia="Arial" w:hAnsi="Arial"/>
          <w:sz w:val="22"/>
          <w:szCs w:val="22"/>
          <w:color w:val="auto"/>
        </w:rPr>
        <w:t>When assets are retired or otherwise disposed of, the cost of assets disposed of and the related accumulated depreciation is removed from the accounts and any resulting gain or loss is included in the consolidated statements of operations and comprehensive loss in the period of disposal. Expenditures for repairs and maintenance are charged to expense as incurred.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of long-lived assets</w:t>
      </w:r>
    </w:p>
    <w:p>
      <w:pPr>
        <w:spacing w:after="0" w:line="25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Long-lived assets consist of property and equipment and right-of-use assets associated with operating leases.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loss from operations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recorded impairment losses of $7,348 on long-lived assets for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measurements</w:t>
      </w:r>
    </w:p>
    <w:p>
      <w:pPr>
        <w:spacing w:after="0" w:line="250"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7" w:lineRule="exact"/>
        <w:rPr>
          <w:sz w:val="20"/>
          <w:szCs w:val="20"/>
          <w:color w:val="auto"/>
        </w:rPr>
      </w:pPr>
    </w:p>
    <w:p>
      <w:pPr>
        <w:ind w:left="1060" w:right="380" w:hanging="350"/>
        <w:spacing w:after="0" w:line="274" w:lineRule="auto"/>
        <w:tabs>
          <w:tab w:leader="none" w:pos="106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 Unadjusted quoted prices in active markets that are accessible to the reporting entity at the</w:t>
      </w:r>
      <w:r>
        <w:rPr>
          <w:rFonts w:ascii="Arial" w:cs="Arial" w:eastAsia="Arial" w:hAnsi="Arial"/>
          <w:sz w:val="22"/>
          <w:szCs w:val="22"/>
          <w:b w:val="1"/>
          <w:bCs w:val="1"/>
          <w:color w:val="auto"/>
        </w:rPr>
        <w:t xml:space="preserve"> </w:t>
      </w:r>
      <w:r>
        <w:rPr>
          <w:rFonts w:ascii="Arial" w:cs="Arial" w:eastAsia="Arial" w:hAnsi="Arial"/>
          <w:sz w:val="22"/>
          <w:szCs w:val="22"/>
          <w:color w:val="auto"/>
        </w:rPr>
        <w:t>measurement date for identical assets and liabilities.</w:t>
      </w:r>
    </w:p>
    <w:p>
      <w:pPr>
        <w:spacing w:after="0" w:line="57" w:lineRule="exact"/>
        <w:rPr>
          <w:rFonts w:ascii="Arial" w:cs="Arial" w:eastAsia="Arial" w:hAnsi="Arial"/>
          <w:sz w:val="22"/>
          <w:szCs w:val="22"/>
          <w:color w:val="auto"/>
        </w:rPr>
      </w:pPr>
    </w:p>
    <w:p>
      <w:pPr>
        <w:ind w:left="1060" w:right="400" w:hanging="350"/>
        <w:spacing w:after="0" w:line="260" w:lineRule="auto"/>
        <w:tabs>
          <w:tab w:leader="none" w:pos="106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 Inputs other than quoted prices in active markets for identical assets and liabilities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observable either directly or indirectly for substantially the full term of the asset or liability. Level 2 inputs include the following:</w:t>
      </w:r>
    </w:p>
    <w:p>
      <w:pPr>
        <w:spacing w:after="0" w:line="75" w:lineRule="exact"/>
        <w:rPr>
          <w:rFonts w:ascii="Arial" w:cs="Arial" w:eastAsia="Arial" w:hAnsi="Arial"/>
          <w:sz w:val="22"/>
          <w:szCs w:val="22"/>
          <w:color w:val="auto"/>
        </w:rPr>
      </w:pPr>
    </w:p>
    <w:p>
      <w:pPr>
        <w:ind w:left="1760" w:hanging="344"/>
        <w:spacing w:after="0"/>
        <w:tabs>
          <w:tab w:leader="none" w:pos="17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quoted prices for similar assets and liabilities in active markets</w:t>
      </w:r>
    </w:p>
    <w:p>
      <w:pPr>
        <w:spacing w:after="0" w:line="123" w:lineRule="exact"/>
        <w:rPr>
          <w:rFonts w:ascii="Arial" w:cs="Arial" w:eastAsia="Arial" w:hAnsi="Arial"/>
          <w:sz w:val="22"/>
          <w:szCs w:val="22"/>
          <w:color w:val="auto"/>
        </w:rPr>
      </w:pPr>
    </w:p>
    <w:p>
      <w:pPr>
        <w:ind w:left="1760" w:hanging="344"/>
        <w:spacing w:after="0"/>
        <w:tabs>
          <w:tab w:leader="none" w:pos="17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markets that are not active</w:t>
      </w:r>
    </w:p>
    <w:p>
      <w:pPr>
        <w:spacing w:after="0" w:line="123" w:lineRule="exact"/>
        <w:rPr>
          <w:rFonts w:ascii="Arial" w:cs="Arial" w:eastAsia="Arial" w:hAnsi="Arial"/>
          <w:sz w:val="22"/>
          <w:szCs w:val="22"/>
          <w:color w:val="auto"/>
        </w:rPr>
      </w:pPr>
    </w:p>
    <w:p>
      <w:pPr>
        <w:ind w:left="1760" w:right="160" w:hanging="344"/>
        <w:spacing w:after="0" w:line="271" w:lineRule="auto"/>
        <w:tabs>
          <w:tab w:leader="none" w:pos="17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observable inputs other than quoted prices that are used in the valuation of the asset or liabilities (e.g., interest rate and yield curve quotes at commonly quoted intervals)</w:t>
      </w:r>
    </w:p>
    <w:p>
      <w:pPr>
        <w:spacing w:after="0" w:line="63" w:lineRule="exact"/>
        <w:rPr>
          <w:rFonts w:ascii="Arial" w:cs="Arial" w:eastAsia="Arial" w:hAnsi="Arial"/>
          <w:sz w:val="22"/>
          <w:szCs w:val="22"/>
          <w:color w:val="auto"/>
        </w:rPr>
      </w:pPr>
    </w:p>
    <w:p>
      <w:pPr>
        <w:ind w:left="1760" w:right="100" w:hanging="344"/>
        <w:spacing w:after="0" w:line="271" w:lineRule="auto"/>
        <w:tabs>
          <w:tab w:leader="none" w:pos="176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inputs that are derived principally from or corroborated by observable market data by correlation or other means</w:t>
      </w:r>
    </w:p>
    <w:p>
      <w:pPr>
        <w:spacing w:after="0" w:line="59" w:lineRule="exact"/>
        <w:rPr>
          <w:rFonts w:ascii="Arial" w:cs="Arial" w:eastAsia="Arial" w:hAnsi="Arial"/>
          <w:sz w:val="22"/>
          <w:szCs w:val="22"/>
          <w:color w:val="auto"/>
        </w:rPr>
      </w:pPr>
    </w:p>
    <w:p>
      <w:pPr>
        <w:ind w:left="1060" w:right="80" w:hanging="350"/>
        <w:spacing w:after="0" w:line="298" w:lineRule="auto"/>
        <w:tabs>
          <w:tab w:leader="none" w:pos="106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for the assets or liabilities (i.e., supported by little or no market activity).</w:t>
      </w:r>
      <w:r>
        <w:rPr>
          <w:rFonts w:ascii="Arial" w:cs="Arial" w:eastAsia="Arial" w:hAnsi="Arial"/>
          <w:sz w:val="20"/>
          <w:szCs w:val="20"/>
          <w:b w:val="1"/>
          <w:bCs w:val="1"/>
          <w:color w:val="auto"/>
        </w:rPr>
        <w:t xml:space="preserve"> </w:t>
      </w:r>
      <w:r>
        <w:rPr>
          <w:rFonts w:ascii="Arial" w:cs="Arial" w:eastAsia="Arial" w:hAnsi="Arial"/>
          <w:sz w:val="20"/>
          <w:szCs w:val="20"/>
          <w:color w:val="auto"/>
        </w:rPr>
        <w:t>Level 3 inputs include management’s own assumptions about the assumptions that market participants would use in pricing the asset or liability (including assumptions about risk).</w:t>
      </w:r>
    </w:p>
    <w:p>
      <w:pPr>
        <w:spacing w:after="0" w:line="159" w:lineRule="exact"/>
        <w:rPr>
          <w:sz w:val="20"/>
          <w:szCs w:val="20"/>
          <w:color w:val="auto"/>
        </w:rPr>
      </w:pPr>
    </w:p>
    <w:p>
      <w:pPr>
        <w:ind w:right="240"/>
        <w:spacing w:after="0" w:line="322" w:lineRule="auto"/>
        <w:rPr>
          <w:sz w:val="20"/>
          <w:szCs w:val="20"/>
          <w:color w:val="auto"/>
        </w:rPr>
      </w:pPr>
      <w:r>
        <w:rPr>
          <w:rFonts w:ascii="Arial" w:cs="Arial" w:eastAsia="Arial" w:hAnsi="Arial"/>
          <w:sz w:val="20"/>
          <w:szCs w:val="20"/>
          <w:color w:val="auto"/>
        </w:rPr>
        <w:t>The carrying values of the Company’s prepaid expenses and other current assets, and accounts payable and accrued expenses, approximate their fair values due to the short-term nature of these assets and liabilities.</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142</w:t>
      </w:r>
    </w:p>
    <w:p>
      <w:pPr>
        <w:sectPr>
          <w:pgSz w:w="11880" w:h="15480" w:orient="portrait"/>
          <w:cols w:equalWidth="0" w:num="1">
            <w:col w:w="10220"/>
          </w:cols>
          <w:pgMar w:left="820" w:top="678" w:right="840" w:bottom="0" w:gutter="0" w:footer="0" w:header="0"/>
          <w:type w:val="continuous"/>
        </w:sectPr>
      </w:pPr>
    </w:p>
    <w:bookmarkStart w:id="146" w:name="page147"/>
    <w:bookmarkEnd w:id="146"/>
    <w:p>
      <w:pPr>
        <w:spacing w:after="0"/>
        <w:rPr>
          <w:sz w:val="20"/>
          <w:szCs w:val="20"/>
          <w:color w:val="auto"/>
        </w:rPr>
      </w:pPr>
      <w:r>
        <w:rPr>
          <w:rFonts w:ascii="Arial" w:cs="Arial" w:eastAsia="Arial" w:hAnsi="Arial"/>
          <w:sz w:val="22"/>
          <w:szCs w:val="22"/>
          <w:b w:val="1"/>
          <w:bCs w:val="1"/>
          <w:i w:val="1"/>
          <w:iCs w:val="1"/>
          <w:color w:val="auto"/>
        </w:rPr>
        <w:t>Segment information</w:t>
      </w:r>
    </w:p>
    <w:p>
      <w:pPr>
        <w:spacing w:after="0" w:line="250" w:lineRule="exact"/>
        <w:rPr>
          <w:sz w:val="20"/>
          <w:szCs w:val="20"/>
          <w:color w:val="auto"/>
        </w:rPr>
      </w:pPr>
    </w:p>
    <w:p>
      <w:pPr>
        <w:jc w:val="both"/>
        <w:spacing w:after="0" w:line="318" w:lineRule="auto"/>
        <w:rPr>
          <w:sz w:val="20"/>
          <w:szCs w:val="20"/>
          <w:color w:val="auto"/>
        </w:rPr>
      </w:pPr>
      <w:r>
        <w:rPr>
          <w:rFonts w:ascii="Arial" w:cs="Arial" w:eastAsia="Arial" w:hAnsi="Arial"/>
          <w:sz w:val="19"/>
          <w:szCs w:val="19"/>
          <w:color w:val="auto"/>
        </w:rPr>
        <w:t>The Company manages its operations as a single operating segment and single reportable segment for the purposes of assessing performance and making operating decisions. The Company’s singular focus is the development of selective medicines for patients with genetically defined cancers driven by oncogenes activated by allosteric mutations.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 costs</w:t>
      </w:r>
    </w:p>
    <w:p>
      <w:pPr>
        <w:spacing w:after="0" w:line="250" w:lineRule="exact"/>
        <w:rPr>
          <w:sz w:val="20"/>
          <w:szCs w:val="20"/>
          <w:color w:val="auto"/>
        </w:rPr>
      </w:pPr>
    </w:p>
    <w:p>
      <w:pPr>
        <w:ind w:right="40"/>
        <w:spacing w:after="0" w:line="295" w:lineRule="auto"/>
        <w:rPr>
          <w:sz w:val="20"/>
          <w:szCs w:val="20"/>
          <w:color w:val="auto"/>
        </w:rPr>
      </w:pPr>
      <w:r>
        <w:rPr>
          <w:rFonts w:ascii="Arial" w:cs="Arial" w:eastAsia="Arial" w:hAnsi="Arial"/>
          <w:sz w:val="19"/>
          <w:szCs w:val="19"/>
          <w:color w:val="auto"/>
        </w:rPr>
        <w:t>Research and development costs are expensed as incurred. Research and development expenses consist of costs incurred to discover, research and develop drug candidates, including personnel expenses, stock-based compensation expense, allocated facility-related and depreciation expenses, third-party license fees and external costs of outside vendors engaged to conduct preclinical and clinical development activities.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contract costs and accruals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 Company has entered into various research and development-related contracts with companies both inside and outside of the United States. The related costs are recorded as research and development expenses as incurred. The Company records accruals for estimated ongoing research costs. When billing terms under these contracts do not coincide with the timing of when the work is performed, the Company is required to make estimates of outstanding obligations to those third parties as of the end of the reporting period. Any accrual estimates are based on a number of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 costs</w:t>
      </w:r>
    </w:p>
    <w:p>
      <w:pPr>
        <w:spacing w:after="0" w:line="250" w:lineRule="exact"/>
        <w:rPr>
          <w:sz w:val="20"/>
          <w:szCs w:val="20"/>
          <w:color w:val="auto"/>
        </w:rPr>
      </w:pPr>
    </w:p>
    <w:p>
      <w:pPr>
        <w:ind w:right="100"/>
        <w:spacing w:after="0" w:line="258" w:lineRule="auto"/>
        <w:rPr>
          <w:sz w:val="20"/>
          <w:szCs w:val="20"/>
          <w:color w:val="auto"/>
        </w:rPr>
      </w:pPr>
      <w:r>
        <w:rPr>
          <w:rFonts w:ascii="Arial" w:cs="Arial" w:eastAsia="Arial" w:hAnsi="Arial"/>
          <w:sz w:val="22"/>
          <w:szCs w:val="22"/>
          <w:color w:val="auto"/>
        </w:rPr>
        <w:t>All patent-related costs incurred in connection with filing and prosecuting patent applications to operations are expensed as incurred due to the uncertainty about the recovery of the expenditure. Amounts incurred are classified as general and administrative expenses.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250"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The Company measures all stock-based awards granted to employees, non-employees and directors based on the fair value on the date of grant and recognizes compensation expense of those awards over the requisite service period, which is generally the vesting period of the respective award. Generally, the Company issues stock options and restricted stock units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 The Company would apply the graded-vesting method to all stock-based awards with performance-based vesting conditions or to awards with both service-based and performance-based vesting conditions. Forfeitures are accounted for as they occur.</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143</w:t>
      </w:r>
    </w:p>
    <w:p>
      <w:pPr>
        <w:sectPr>
          <w:pgSz w:w="11880" w:h="15480" w:orient="portrait"/>
          <w:cols w:equalWidth="0" w:num="1">
            <w:col w:w="10220"/>
          </w:cols>
          <w:pgMar w:left="820" w:top="668" w:right="840" w:bottom="0" w:gutter="0" w:footer="0" w:header="0"/>
          <w:type w:val="continuous"/>
        </w:sectPr>
      </w:pPr>
    </w:p>
    <w:bookmarkStart w:id="147" w:name="page148"/>
    <w:bookmarkEnd w:id="147"/>
    <w:p>
      <w:pPr>
        <w:ind w:right="180"/>
        <w:spacing w:after="0" w:line="293" w:lineRule="auto"/>
        <w:rPr>
          <w:sz w:val="20"/>
          <w:szCs w:val="20"/>
          <w:color w:val="auto"/>
        </w:rPr>
      </w:pPr>
      <w:r>
        <w:rPr>
          <w:rFonts w:ascii="Arial" w:cs="Arial" w:eastAsia="Arial" w:hAnsi="Arial"/>
          <w:sz w:val="19"/>
          <w:szCs w:val="19"/>
          <w:color w:val="auto"/>
        </w:rPr>
        <w:t xml:space="preserve">The fair value of each stock option grant is estimated on the date of grant using the Black- Scholes option-pricing model. The Company estimates its expected common stock volatility based on its historical common stock volatility for the same time period. The Company uses the simplified method prescribed by Securities and Exchange Commission Staff Accounting Bulletin No. 107, </w:t>
      </w:r>
      <w:r>
        <w:rPr>
          <w:rFonts w:ascii="Arial" w:cs="Arial" w:eastAsia="Arial" w:hAnsi="Arial"/>
          <w:sz w:val="19"/>
          <w:szCs w:val="19"/>
          <w:b w:val="1"/>
          <w:bCs w:val="1"/>
          <w:i w:val="1"/>
          <w:iCs w:val="1"/>
          <w:color w:val="auto"/>
        </w:rPr>
        <w:t>Share-Based Payment</w:t>
      </w:r>
      <w:r>
        <w:rPr>
          <w:rFonts w:ascii="Arial" w:cs="Arial" w:eastAsia="Arial" w:hAnsi="Arial"/>
          <w:sz w:val="19"/>
          <w:szCs w:val="19"/>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1" w:lineRule="exact"/>
        <w:rPr>
          <w:sz w:val="20"/>
          <w:szCs w:val="20"/>
          <w:color w:val="auto"/>
        </w:rPr>
      </w:pPr>
    </w:p>
    <w:p>
      <w:pPr>
        <w:ind w:right="460"/>
        <w:spacing w:after="0" w:line="258" w:lineRule="auto"/>
        <w:rPr>
          <w:sz w:val="20"/>
          <w:szCs w:val="20"/>
          <w:color w:val="auto"/>
        </w:rPr>
      </w:pPr>
      <w:r>
        <w:rPr>
          <w:rFonts w:ascii="Arial" w:cs="Arial" w:eastAsia="Arial" w:hAnsi="Arial"/>
          <w:sz w:val="22"/>
          <w:szCs w:val="22"/>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22"/>
          <w:szCs w:val="22"/>
          <w:color w:val="auto"/>
        </w:rPr>
        <w:t xml:space="preserve">The Company recognizes revenue in accordance with ASC Topic 606, </w:t>
      </w:r>
      <w:r>
        <w:rPr>
          <w:rFonts w:ascii="Arial" w:cs="Arial" w:eastAsia="Arial" w:hAnsi="Arial"/>
          <w:sz w:val="22"/>
          <w:szCs w:val="22"/>
          <w:b w:val="1"/>
          <w:bCs w:val="1"/>
          <w:i w:val="1"/>
          <w:iCs w:val="1"/>
          <w:color w:val="auto"/>
        </w:rPr>
        <w:t>Revenue from Contracts with Customers</w:t>
      </w:r>
      <w:r>
        <w:rPr>
          <w:rFonts w:ascii="Arial" w:cs="Arial" w:eastAsia="Arial" w:hAnsi="Arial"/>
          <w:sz w:val="22"/>
          <w:szCs w:val="22"/>
          <w:color w:val="auto"/>
        </w:rPr>
        <w:t>,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w:t>
      </w:r>
    </w:p>
    <w:p>
      <w:pPr>
        <w:spacing w:after="0" w:line="205"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The Company enters into licensing agreements with partners under which it may exclusively license rights to research, develop, manufacture, and commercialize product candidates to third parties. The terms of these arrangements may include payment to the Company of one or more of the following: (1) non-refundable, upfront fees;</w:t>
      </w:r>
    </w:p>
    <w:p>
      <w:pPr>
        <w:ind w:right="100" w:firstLine="4"/>
        <w:spacing w:after="0" w:line="250" w:lineRule="auto"/>
        <w:tabs>
          <w:tab w:leader="none" w:pos="305"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reimbursement of certain costs; (3) customer option fees for additional goods or services; (4) milestone payments; and (5) royalties on net sales of licensed products.</w:t>
      </w:r>
    </w:p>
    <w:p>
      <w:pPr>
        <w:spacing w:after="0" w:line="204"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also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The Company evaluates the measure of progress each reporting period and, if necessary, adjusts the measure of performance and related revenue recognition. Amounts due to the Company for satisfying the revenue recognition criteria or that are contractually due based upon the terms of the applicable agreement are recorded as a receivable in the Company’s consolidated balance sheet.</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144</w:t>
      </w:r>
    </w:p>
    <w:p>
      <w:pPr>
        <w:sectPr>
          <w:pgSz w:w="11880" w:h="15480" w:orient="portrait"/>
          <w:cols w:equalWidth="0" w:num="1">
            <w:col w:w="10240"/>
          </w:cols>
          <w:pgMar w:left="820" w:top="678" w:right="820" w:bottom="0" w:gutter="0" w:footer="0" w:header="0"/>
          <w:type w:val="continuous"/>
        </w:sectPr>
      </w:pPr>
    </w:p>
    <w:bookmarkStart w:id="148" w:name="page149"/>
    <w:bookmarkEnd w:id="148"/>
    <w:p>
      <w:pPr>
        <w:spacing w:after="0"/>
        <w:rPr>
          <w:sz w:val="20"/>
          <w:szCs w:val="20"/>
          <w:color w:val="auto"/>
        </w:rPr>
      </w:pPr>
      <w:r>
        <w:rPr>
          <w:rFonts w:ascii="Arial" w:cs="Arial" w:eastAsia="Arial" w:hAnsi="Arial"/>
          <w:sz w:val="22"/>
          <w:szCs w:val="22"/>
          <w:b w:val="1"/>
          <w:bCs w:val="1"/>
          <w:i w:val="1"/>
          <w:iCs w:val="1"/>
          <w:color w:val="auto"/>
        </w:rPr>
        <w:t>Milestone payments</w:t>
      </w:r>
    </w:p>
    <w:p>
      <w:pPr>
        <w:spacing w:after="0" w:line="245" w:lineRule="exact"/>
        <w:rPr>
          <w:sz w:val="20"/>
          <w:szCs w:val="20"/>
          <w:color w:val="auto"/>
        </w:rPr>
      </w:pPr>
    </w:p>
    <w:p>
      <w:pPr>
        <w:ind w:right="60"/>
        <w:spacing w:after="0" w:line="276" w:lineRule="auto"/>
        <w:rPr>
          <w:sz w:val="20"/>
          <w:szCs w:val="20"/>
          <w:color w:val="auto"/>
        </w:rPr>
      </w:pPr>
      <w:r>
        <w:rPr>
          <w:rFonts w:ascii="Arial" w:cs="Arial" w:eastAsia="Arial" w:hAnsi="Arial"/>
          <w:sz w:val="20"/>
          <w:szCs w:val="20"/>
          <w:color w:val="auto"/>
        </w:rPr>
        <w:t>The Company measures the transaction price based on the amount of consideration to which the Company expects to be entitled in exchange for transferring the promised goods and/or services to the customer. At the inception of an arrangement that includes milestone payments, the Company evaluates whether the milestones are considered probable of being achieved and estimates the amount of variable consideration to be included in the transaction price utilizing either the expected value method or the most likely amount method,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With respect to arrangements that include payments for a development or regulatory milestone, the Company evaluates whether the associated event is considered likely of achievement and estimates the amount to be included in the transaction price using the most likely amount method. Milestone payments that are not within the Company’s control or the control of the counterparty, such as those dependent upon receipt of regulatory approval, are not considered to be likely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income (loss) in the period of adjustment. See Note 15 to our consolidated financial statements for additional information on the Company’s license revenue.</w:t>
      </w:r>
    </w:p>
    <w:p>
      <w:pPr>
        <w:spacing w:after="0" w:line="18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To date, the Company has not taken any uncertain tax positions or recorded any reserves, interest or penalties.</w:t>
      </w:r>
    </w:p>
    <w:p>
      <w:pPr>
        <w:sectPr>
          <w:pgSz w:w="11880" w:h="15480" w:orient="portrait"/>
          <w:cols w:equalWidth="0" w:num="1">
            <w:col w:w="10240"/>
          </w:cols>
          <w:pgMar w:left="820" w:top="6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w:t>
      </w:r>
    </w:p>
    <w:p>
      <w:pPr>
        <w:sectPr>
          <w:pgSz w:w="11880" w:h="15480" w:orient="portrait"/>
          <w:cols w:equalWidth="0" w:num="1">
            <w:col w:w="10240"/>
          </w:cols>
          <w:pgMar w:left="820" w:top="674" w:right="820" w:bottom="0" w:gutter="0" w:footer="0" w:header="0"/>
          <w:type w:val="continuous"/>
        </w:sectPr>
      </w:pPr>
    </w:p>
    <w:bookmarkStart w:id="149" w:name="page150"/>
    <w:bookmarkEnd w:id="149"/>
    <w:p>
      <w:pPr>
        <w:ind w:right="140"/>
        <w:spacing w:after="0" w:line="298" w:lineRule="auto"/>
        <w:rPr>
          <w:sz w:val="20"/>
          <w:szCs w:val="20"/>
          <w:color w:val="auto"/>
        </w:rPr>
      </w:pPr>
      <w:r>
        <w:rPr>
          <w:rFonts w:ascii="Arial" w:cs="Arial" w:eastAsia="Arial" w:hAnsi="Arial"/>
          <w:sz w:val="19"/>
          <w:szCs w:val="19"/>
          <w:color w:val="auto"/>
        </w:rPr>
        <w:t xml:space="preserve">In 2023, the FASB issued ASU 2023-09, </w:t>
      </w:r>
      <w:r>
        <w:rPr>
          <w:rFonts w:ascii="Arial" w:cs="Arial" w:eastAsia="Arial" w:hAnsi="Arial"/>
          <w:sz w:val="19"/>
          <w:szCs w:val="19"/>
          <w:b w:val="1"/>
          <w:bCs w:val="1"/>
          <w:i w:val="1"/>
          <w:iCs w:val="1"/>
          <w:color w:val="auto"/>
        </w:rPr>
        <w:t>Income Taxes (Topic 740): Improvements to Income Tax Disclosures</w:t>
      </w:r>
      <w:r>
        <w:rPr>
          <w:rFonts w:ascii="Arial" w:cs="Arial" w:eastAsia="Arial" w:hAnsi="Arial"/>
          <w:sz w:val="19"/>
          <w:szCs w:val="19"/>
          <w:color w:val="auto"/>
        </w:rPr>
        <w:t xml:space="preserve"> (ASU 2023-09), which requires public entities to disclose in their rate reconciliation table additional categories of information about federal, state and foreign income taxes and to provide more details about the reconciling items in some categories if items meet a quantitative threshold. ASU 2023-09 became effective for the annual period starting on January 1, 2025. The adoption of ASU 2023-09, on a prospective basis, resulted in expansion of our income tax footnote disclosures in Note 9,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including a more detailed effective tax rate reconciliation.</w:t>
      </w:r>
    </w:p>
    <w:p>
      <w:pPr>
        <w:spacing w:after="0" w:line="147" w:lineRule="exact"/>
        <w:rPr>
          <w:sz w:val="20"/>
          <w:szCs w:val="20"/>
          <w:color w:val="auto"/>
        </w:rPr>
      </w:pPr>
    </w:p>
    <w:p>
      <w:pPr>
        <w:ind w:right="100"/>
        <w:spacing w:after="0" w:line="327" w:lineRule="auto"/>
        <w:rPr>
          <w:sz w:val="20"/>
          <w:szCs w:val="20"/>
          <w:color w:val="auto"/>
        </w:rPr>
      </w:pPr>
      <w:r>
        <w:rPr>
          <w:rFonts w:ascii="Arial" w:cs="Arial" w:eastAsia="Arial" w:hAnsi="Arial"/>
          <w:sz w:val="19"/>
          <w:szCs w:val="19"/>
          <w:color w:val="auto"/>
        </w:rPr>
        <w:t>On July 4, 2025, the One</w:t>
      </w:r>
      <w:r>
        <w:rPr>
          <w:rFonts w:ascii="Arial" w:cs="Arial" w:eastAsia="Arial" w:hAnsi="Arial"/>
          <w:sz w:val="19"/>
          <w:szCs w:val="19"/>
          <w:b w:val="1"/>
          <w:bCs w:val="1"/>
          <w:color w:val="auto"/>
        </w:rPr>
        <w:t xml:space="preserve"> </w:t>
      </w:r>
      <w:r>
        <w:rPr>
          <w:rFonts w:ascii="Arial" w:cs="Arial" w:eastAsia="Arial" w:hAnsi="Arial"/>
          <w:sz w:val="19"/>
          <w:szCs w:val="19"/>
          <w:color w:val="auto"/>
        </w:rPr>
        <w:t>Big Beautiful Bill</w:t>
      </w:r>
      <w:r>
        <w:rPr>
          <w:rFonts w:ascii="Arial" w:cs="Arial" w:eastAsia="Arial" w:hAnsi="Arial"/>
          <w:sz w:val="19"/>
          <w:szCs w:val="19"/>
          <w:b w:val="1"/>
          <w:bCs w:val="1"/>
          <w:color w:val="auto"/>
        </w:rPr>
        <w:t xml:space="preserve"> </w:t>
      </w:r>
      <w:r>
        <w:rPr>
          <w:rFonts w:ascii="Arial" w:cs="Arial" w:eastAsia="Arial" w:hAnsi="Arial"/>
          <w:sz w:val="19"/>
          <w:szCs w:val="19"/>
          <w:color w:val="auto"/>
        </w:rPr>
        <w:t>Act (OBBB Act) was enacted in the United States. The OBBB Act includes significant changes to federal tax law and other regulatory provisions that may impact the Company. The Company evaluated the impact of the enacted tax law and noted there is an immaterial impact on our income tax rate.</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Comprehensive income (loss)</w:t>
      </w:r>
    </w:p>
    <w:p>
      <w:pPr>
        <w:spacing w:after="0" w:line="250" w:lineRule="exact"/>
        <w:rPr>
          <w:sz w:val="20"/>
          <w:szCs w:val="20"/>
          <w:color w:val="auto"/>
        </w:rPr>
      </w:pPr>
    </w:p>
    <w:p>
      <w:pPr>
        <w:ind w:right="200"/>
        <w:spacing w:after="0" w:line="271" w:lineRule="auto"/>
        <w:rPr>
          <w:sz w:val="20"/>
          <w:szCs w:val="20"/>
          <w:color w:val="auto"/>
        </w:rPr>
      </w:pPr>
      <w:r>
        <w:rPr>
          <w:rFonts w:ascii="Arial" w:cs="Arial" w:eastAsia="Arial" w:hAnsi="Arial"/>
          <w:sz w:val="22"/>
          <w:szCs w:val="22"/>
          <w:color w:val="auto"/>
        </w:rPr>
        <w:t>Comprehensive income (loss) is composed of net loss and other comprehensive income (loss). Other comprehensive income (loss) consists of unrealized gains and losses on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 (loss) per share</w:t>
      </w:r>
    </w:p>
    <w:p>
      <w:pPr>
        <w:spacing w:after="0" w:line="250"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purposes of this calculation, outstanding options, unvested restricted common stock and shares issuable under the employee stock purchase plan are considered potentially dilutive common stock and are excluded from the computation of net income (loss) per share when their effect is anti-dilutive. The Company reported a net income and a net loss attributable to common stockholders for the years ended December 31, 2025 and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Leases</w:t>
      </w:r>
    </w:p>
    <w:p>
      <w:pPr>
        <w:spacing w:after="0" w:line="250"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Certain adjustments to the right-of-use asset may be required for items such as incentives received.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1" w:lineRule="exact"/>
        <w:rPr>
          <w:sz w:val="20"/>
          <w:szCs w:val="20"/>
          <w:color w:val="auto"/>
        </w:rPr>
      </w:pPr>
    </w:p>
    <w:p>
      <w:pPr>
        <w:jc w:val="both"/>
        <w:ind w:right="120"/>
        <w:spacing w:after="0" w:line="296" w:lineRule="auto"/>
        <w:rPr>
          <w:sz w:val="20"/>
          <w:szCs w:val="20"/>
          <w:color w:val="auto"/>
        </w:rPr>
      </w:pPr>
      <w:r>
        <w:rPr>
          <w:rFonts w:ascii="Arial" w:cs="Arial" w:eastAsia="Arial" w:hAnsi="Arial"/>
          <w:sz w:val="20"/>
          <w:szCs w:val="20"/>
          <w:color w:val="auto"/>
        </w:rPr>
        <w:t>The lease payments used to determine the Company’s operating lease assets may include lease incentives, stated rent increases and escalation clauses linked to rates of inflation, when determinable, and are recognized in the Company’s operating lease assets in the Company’s consolidated balance sheets.</w:t>
      </w:r>
    </w:p>
    <w:p>
      <w:pPr>
        <w:sectPr>
          <w:pgSz w:w="11880" w:h="15480" w:orient="portrait"/>
          <w:cols w:equalWidth="0" w:num="1">
            <w:col w:w="10240"/>
          </w:cols>
          <w:pgMar w:left="820" w:top="67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146</w:t>
      </w:r>
    </w:p>
    <w:p>
      <w:pPr>
        <w:sectPr>
          <w:pgSz w:w="11880" w:h="15480" w:orient="portrait"/>
          <w:cols w:equalWidth="0" w:num="1">
            <w:col w:w="10240"/>
          </w:cols>
          <w:pgMar w:left="820" w:top="674" w:right="820" w:bottom="0" w:gutter="0" w:footer="0" w:header="0"/>
          <w:type w:val="continuous"/>
        </w:sectPr>
      </w:pPr>
    </w:p>
    <w:bookmarkStart w:id="150" w:name="page151"/>
    <w:bookmarkEnd w:id="150"/>
    <w:p>
      <w:pPr>
        <w:spacing w:after="0" w:line="283" w:lineRule="auto"/>
        <w:rPr>
          <w:sz w:val="20"/>
          <w:szCs w:val="20"/>
          <w:color w:val="auto"/>
        </w:rPr>
      </w:pPr>
      <w:r>
        <w:rPr>
          <w:rFonts w:ascii="Arial" w:cs="Arial" w:eastAsia="Arial" w:hAnsi="Arial"/>
          <w:sz w:val="20"/>
          <w:szCs w:val="20"/>
          <w:color w:val="auto"/>
        </w:rPr>
        <w:t>The Company’s operating leases are reflected in the right-of-use operating asset; operating lease liability, current portion; and non-current operating lease liability in the Company’s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73" w:lineRule="exact"/>
        <w:rPr>
          <w:sz w:val="20"/>
          <w:szCs w:val="20"/>
          <w:color w:val="auto"/>
        </w:rPr>
      </w:pPr>
    </w:p>
    <w:p>
      <w:pPr>
        <w:ind w:right="140"/>
        <w:spacing w:after="0" w:line="258" w:lineRule="auto"/>
        <w:rPr>
          <w:sz w:val="20"/>
          <w:szCs w:val="20"/>
          <w:color w:val="auto"/>
        </w:rPr>
      </w:pPr>
      <w:r>
        <w:rPr>
          <w:rFonts w:ascii="Arial" w:cs="Arial" w:eastAsia="Arial" w:hAnsi="Arial"/>
          <w:sz w:val="22"/>
          <w:szCs w:val="22"/>
          <w:color w:val="auto"/>
        </w:rPr>
        <w:t>Variable lease payments are the amounts owed by the Company to a lessor that are not fixed, such as reimbursement for common area maintenance and utilities costs for facility leases and maintenance. Variable lease payments are expensed when incurred.</w:t>
      </w:r>
    </w:p>
    <w:p>
      <w:pPr>
        <w:spacing w:after="0" w:line="196"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247"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auto"/>
        </w:rPr>
        <w:t xml:space="preserve">In December 2023, the Financial Accounting Standards Board (FASB) issued ASU 2023-09, </w:t>
      </w:r>
      <w:r>
        <w:rPr>
          <w:rFonts w:ascii="Arial" w:cs="Arial" w:eastAsia="Arial" w:hAnsi="Arial"/>
          <w:sz w:val="20"/>
          <w:szCs w:val="20"/>
          <w:b w:val="1"/>
          <w:bCs w:val="1"/>
          <w:i w:val="1"/>
          <w:iCs w:val="1"/>
          <w:color w:val="auto"/>
        </w:rPr>
        <w:t>Income Taxes (Topic</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740): Improvements to Income Tax Disclosures </w:t>
      </w:r>
      <w:r>
        <w:rPr>
          <w:rFonts w:ascii="Arial" w:cs="Arial" w:eastAsia="Arial" w:hAnsi="Arial"/>
          <w:sz w:val="20"/>
          <w:szCs w:val="20"/>
          <w:color w:val="auto"/>
        </w:rPr>
        <w:t>(ASU 2023-09). ASU 2023-09 requires that public business entities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standard is effective for annual and interim periods beginning after December 15, 2024. Adoption of the standard requires certain changes to be made prospectively, with some changes to be made retrospectively. The Company adopted ASU 2023-09 for its annual reporting period ending on December 31, 2025 and applied the amendments prospectively. See Note 9 for the required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w:t>
      </w:r>
    </w:p>
    <w:p>
      <w:pPr>
        <w:spacing w:after="0" w:line="247"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 xml:space="preserve">In November 2024, the FASB issued ASU 2024-03, </w:t>
      </w:r>
      <w:r>
        <w:rPr>
          <w:rFonts w:ascii="Arial" w:cs="Arial" w:eastAsia="Arial" w:hAnsi="Arial"/>
          <w:sz w:val="19"/>
          <w:szCs w:val="19"/>
          <w:b w:val="1"/>
          <w:bCs w:val="1"/>
          <w:i w:val="1"/>
          <w:iCs w:val="1"/>
          <w:color w:val="auto"/>
        </w:rPr>
        <w:t>Income Statement – Reporting Comprehensive Income – Expense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Disaggregation Disclosures (Subtopic 220-40): Disaggregation of Income Statement Expenses</w:t>
      </w:r>
      <w:r>
        <w:rPr>
          <w:rFonts w:ascii="Arial" w:cs="Arial" w:eastAsia="Arial" w:hAnsi="Arial"/>
          <w:sz w:val="19"/>
          <w:szCs w:val="19"/>
          <w:color w:val="auto"/>
        </w:rPr>
        <w:t>, which is intended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enhance transparency into the nature and function of expenses. The amendments require that on an annual and interim basis, entities disclose disaggregated operating expense information about specific categories, including purchases of inventory, employee compensation, depreciation, amortization and depletion. This guidance is effective for fiscal years beginning after December 15, 2026, and interim periods within fiscal years beginning after December 15, 2027. The Company will evaluate the impact of the guidance on its financial statements in advance of the adoption date.</w:t>
      </w:r>
    </w:p>
    <w:p>
      <w:pPr>
        <w:sectPr>
          <w:pgSz w:w="11880" w:h="15480" w:orient="portrait"/>
          <w:cols w:equalWidth="0" w:num="1">
            <w:col w:w="10200"/>
          </w:cols>
          <w:pgMar w:left="820" w:top="67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147</w:t>
      </w:r>
    </w:p>
    <w:p>
      <w:pPr>
        <w:sectPr>
          <w:pgSz w:w="11880" w:h="15480" w:orient="portrait"/>
          <w:cols w:equalWidth="0" w:num="1">
            <w:col w:w="10200"/>
          </w:cols>
          <w:pgMar w:left="820" w:top="678" w:right="860"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22"/>
          <w:szCs w:val="22"/>
          <w:b w:val="1"/>
          <w:bCs w:val="1"/>
          <w:color w:val="auto"/>
        </w:rPr>
        <w:t>3. FAIR VALUE MEASUREMENTS</w:t>
      </w:r>
    </w:p>
    <w:p>
      <w:pPr>
        <w:spacing w:after="0" w:line="248" w:lineRule="exact"/>
        <w:rPr>
          <w:sz w:val="20"/>
          <w:szCs w:val="20"/>
          <w:color w:val="auto"/>
        </w:rPr>
      </w:pPr>
    </w:p>
    <w:p>
      <w:pPr>
        <w:ind w:right="260"/>
        <w:spacing w:after="0" w:line="313" w:lineRule="auto"/>
        <w:rPr>
          <w:sz w:val="20"/>
          <w:szCs w:val="20"/>
          <w:color w:val="auto"/>
        </w:rPr>
      </w:pPr>
      <w:r>
        <w:rPr>
          <w:rFonts w:ascii="Arial" w:cs="Arial" w:eastAsia="Arial" w:hAnsi="Arial"/>
          <w:sz w:val="20"/>
          <w:szCs w:val="20"/>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Fair value measurements at December 31, 2025 using: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3138805</wp:posOffset>
                </wp:positionH>
                <wp:positionV relativeFrom="paragraph">
                  <wp:posOffset>38735</wp:posOffset>
                </wp:positionV>
                <wp:extent cx="336042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04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15pt,3.05pt" to="511.75pt,3.05pt" o:allowincell="f" strokecolor="#000000" strokeweight="1pt"/>
            </w:pict>
          </mc:Fallback>
        </mc:AlternateConten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4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Level 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Level 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Level 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Total</w:t>
            </w:r>
          </w:p>
        </w:tc>
      </w:tr>
      <w:tr>
        <w:trPr>
          <w:trHeight w:val="287"/>
        </w:trPr>
        <w:tc>
          <w:tcPr>
            <w:tcW w:w="4880" w:type="dxa"/>
            <w:vAlign w:val="bottom"/>
          </w:tcPr>
          <w:p>
            <w:pPr>
              <w:spacing w:after="0"/>
              <w:rPr>
                <w:sz w:val="20"/>
                <w:szCs w:val="20"/>
                <w:color w:val="auto"/>
              </w:rPr>
            </w:pPr>
            <w:r>
              <w:rPr>
                <w:rFonts w:ascii="Arial" w:cs="Arial" w:eastAsia="Arial" w:hAnsi="Arial"/>
                <w:sz w:val="22"/>
                <w:szCs w:val="22"/>
                <w:color w:val="auto"/>
              </w:rPr>
              <w:t>Assets: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4880" w:type="dxa"/>
            <w:vAlign w:val="bottom"/>
          </w:tcPr>
          <w:p>
            <w:pPr>
              <w:ind w:left="240"/>
              <w:spacing w:after="0"/>
              <w:rPr>
                <w:sz w:val="20"/>
                <w:szCs w:val="20"/>
                <w:color w:val="auto"/>
              </w:rPr>
            </w:pPr>
            <w:r>
              <w:rPr>
                <w:rFonts w:ascii="Arial" w:cs="Arial" w:eastAsia="Arial" w:hAnsi="Arial"/>
                <w:sz w:val="22"/>
                <w:szCs w:val="22"/>
                <w:color w:val="auto"/>
              </w:rPr>
              <w:t>Cash equivalents: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4880" w:type="dxa"/>
            <w:vAlign w:val="bottom"/>
          </w:tcPr>
          <w:p>
            <w:pPr>
              <w:ind w:left="340"/>
              <w:spacing w:after="0"/>
              <w:rPr>
                <w:sz w:val="20"/>
                <w:szCs w:val="20"/>
                <w:color w:val="auto"/>
              </w:rPr>
            </w:pPr>
            <w:r>
              <w:rPr>
                <w:rFonts w:ascii="Arial" w:cs="Arial" w:eastAsia="Arial" w:hAnsi="Arial"/>
                <w:sz w:val="22"/>
                <w:szCs w:val="22"/>
                <w:color w:val="auto"/>
              </w:rPr>
              <w:t>Money market funds</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19,906</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19,906</w:t>
            </w:r>
          </w:p>
        </w:tc>
      </w:tr>
      <w:tr>
        <w:trPr>
          <w:trHeight w:val="309"/>
        </w:trPr>
        <w:tc>
          <w:tcPr>
            <w:tcW w:w="4880" w:type="dxa"/>
            <w:vAlign w:val="bottom"/>
          </w:tcPr>
          <w:p>
            <w:pPr>
              <w:ind w:left="240"/>
              <w:spacing w:after="0"/>
              <w:rPr>
                <w:sz w:val="20"/>
                <w:szCs w:val="20"/>
                <w:color w:val="auto"/>
              </w:rPr>
            </w:pPr>
            <w:r>
              <w:rPr>
                <w:rFonts w:ascii="Arial" w:cs="Arial" w:eastAsia="Arial" w:hAnsi="Arial"/>
                <w:sz w:val="22"/>
                <w:szCs w:val="22"/>
                <w:color w:val="auto"/>
              </w:rPr>
              <w:t>Investments: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4880" w:type="dxa"/>
            <w:vAlign w:val="bottom"/>
          </w:tcPr>
          <w:p>
            <w:pPr>
              <w:ind w:left="340"/>
              <w:spacing w:after="0"/>
              <w:rPr>
                <w:sz w:val="20"/>
                <w:szCs w:val="20"/>
                <w:color w:val="auto"/>
              </w:rPr>
            </w:pPr>
            <w:r>
              <w:rPr>
                <w:rFonts w:ascii="Arial" w:cs="Arial" w:eastAsia="Arial" w:hAnsi="Arial"/>
                <w:sz w:val="22"/>
                <w:szCs w:val="22"/>
                <w:color w:val="auto"/>
              </w:rPr>
              <w:t>Commercial paper</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14,885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14,885</w:t>
            </w:r>
          </w:p>
        </w:tc>
      </w:tr>
      <w:tr>
        <w:trPr>
          <w:trHeight w:val="309"/>
        </w:trPr>
        <w:tc>
          <w:tcPr>
            <w:tcW w:w="4880" w:type="dxa"/>
            <w:vAlign w:val="bottom"/>
          </w:tcPr>
          <w:p>
            <w:pPr>
              <w:ind w:left="340"/>
              <w:spacing w:after="0"/>
              <w:rPr>
                <w:sz w:val="20"/>
                <w:szCs w:val="20"/>
                <w:color w:val="auto"/>
              </w:rPr>
            </w:pPr>
            <w:r>
              <w:rPr>
                <w:rFonts w:ascii="Arial" w:cs="Arial" w:eastAsia="Arial" w:hAnsi="Arial"/>
                <w:sz w:val="22"/>
                <w:szCs w:val="22"/>
                <w:color w:val="auto"/>
              </w:rPr>
              <w:t>Corporate bonds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78,745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78,745</w:t>
            </w:r>
          </w:p>
        </w:tc>
      </w:tr>
      <w:tr>
        <w:trPr>
          <w:trHeight w:val="311"/>
        </w:trPr>
        <w:tc>
          <w:tcPr>
            <w:tcW w:w="4880" w:type="dxa"/>
            <w:vAlign w:val="bottom"/>
          </w:tcPr>
          <w:p>
            <w:pPr>
              <w:ind w:left="340"/>
              <w:spacing w:after="0"/>
              <w:rPr>
                <w:sz w:val="20"/>
                <w:szCs w:val="20"/>
                <w:color w:val="auto"/>
              </w:rPr>
            </w:pPr>
            <w:r>
              <w:rPr>
                <w:rFonts w:ascii="Arial" w:cs="Arial" w:eastAsia="Arial" w:hAnsi="Arial"/>
                <w:sz w:val="22"/>
                <w:szCs w:val="22"/>
                <w:color w:val="auto"/>
              </w:rPr>
              <w:t>U.S. Government agencies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14,032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14,032</w:t>
            </w:r>
          </w:p>
        </w:tc>
      </w:tr>
      <w:tr>
        <w:trPr>
          <w:trHeight w:val="269"/>
        </w:trPr>
        <w:tc>
          <w:tcPr>
            <w:tcW w:w="4880" w:type="dxa"/>
            <w:vAlign w:val="bottom"/>
          </w:tcPr>
          <w:p>
            <w:pPr>
              <w:ind w:left="240"/>
              <w:spacing w:after="0"/>
              <w:rPr>
                <w:sz w:val="20"/>
                <w:szCs w:val="20"/>
                <w:color w:val="auto"/>
              </w:rPr>
            </w:pPr>
            <w:r>
              <w:rPr>
                <w:rFonts w:ascii="Arial" w:cs="Arial" w:eastAsia="Arial" w:hAnsi="Arial"/>
                <w:sz w:val="22"/>
                <w:szCs w:val="22"/>
                <w:color w:val="auto"/>
              </w:rPr>
              <w:t>Total</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19,906</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107,662</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127,568</w:t>
            </w:r>
          </w:p>
        </w:tc>
      </w:tr>
      <w:tr>
        <w:trPr>
          <w:trHeight w:val="20"/>
        </w:trPr>
        <w:tc>
          <w:tcPr>
            <w:tcW w:w="4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-1598930</wp:posOffset>
            </wp:positionV>
            <wp:extent cx="6522085" cy="1605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extLst>
                    </a:blip>
                    <a:srcRect/>
                    <a:stretch>
                      <a:fillRect/>
                    </a:stretch>
                  </pic:blipFill>
                  <pic:spPr bwMode="auto">
                    <a:xfrm>
                      <a:off x="0" y="0"/>
                      <a:ext cx="6522085" cy="1605915"/>
                    </a:xfrm>
                    <a:prstGeom prst="rect">
                      <a:avLst/>
                    </a:prstGeom>
                    <a:noFill/>
                  </pic:spPr>
                </pic:pic>
              </a:graphicData>
            </a:graphic>
          </wp:anchor>
        </w:drawing>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Fair value measurements at December 31, 2024 using: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3138805</wp:posOffset>
                </wp:positionH>
                <wp:positionV relativeFrom="paragraph">
                  <wp:posOffset>38735</wp:posOffset>
                </wp:positionV>
                <wp:extent cx="336042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04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15pt,3.05pt" to="511.75pt,3.05pt" o:allowincell="f" strokecolor="#000000" strokeweight="1pt"/>
            </w:pict>
          </mc:Fallback>
        </mc:AlternateContent>
      </w:r>
    </w:p>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4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Level 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w w:val="98"/>
              </w:rPr>
              <w:t>Level 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Level 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Total</w:t>
            </w:r>
          </w:p>
        </w:tc>
      </w:tr>
      <w:tr>
        <w:trPr>
          <w:trHeight w:val="287"/>
        </w:trPr>
        <w:tc>
          <w:tcPr>
            <w:tcW w:w="4880" w:type="dxa"/>
            <w:vAlign w:val="bottom"/>
          </w:tcPr>
          <w:p>
            <w:pPr>
              <w:spacing w:after="0"/>
              <w:rPr>
                <w:sz w:val="20"/>
                <w:szCs w:val="20"/>
                <w:color w:val="auto"/>
              </w:rPr>
            </w:pPr>
            <w:r>
              <w:rPr>
                <w:rFonts w:ascii="Arial" w:cs="Arial" w:eastAsia="Arial" w:hAnsi="Arial"/>
                <w:sz w:val="22"/>
                <w:szCs w:val="22"/>
                <w:color w:val="auto"/>
              </w:rPr>
              <w:t>Assets: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4880" w:type="dxa"/>
            <w:vAlign w:val="bottom"/>
          </w:tcPr>
          <w:p>
            <w:pPr>
              <w:ind w:left="240"/>
              <w:spacing w:after="0"/>
              <w:rPr>
                <w:sz w:val="20"/>
                <w:szCs w:val="20"/>
                <w:color w:val="auto"/>
              </w:rPr>
            </w:pPr>
            <w:r>
              <w:rPr>
                <w:rFonts w:ascii="Arial" w:cs="Arial" w:eastAsia="Arial" w:hAnsi="Arial"/>
                <w:sz w:val="22"/>
                <w:szCs w:val="22"/>
                <w:color w:val="auto"/>
              </w:rPr>
              <w:t>Cash equivalents: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4880" w:type="dxa"/>
            <w:vAlign w:val="bottom"/>
          </w:tcPr>
          <w:p>
            <w:pPr>
              <w:ind w:left="340"/>
              <w:spacing w:after="0"/>
              <w:rPr>
                <w:sz w:val="20"/>
                <w:szCs w:val="20"/>
                <w:color w:val="auto"/>
              </w:rPr>
            </w:pPr>
            <w:r>
              <w:rPr>
                <w:rFonts w:ascii="Arial" w:cs="Arial" w:eastAsia="Arial" w:hAnsi="Arial"/>
                <w:sz w:val="22"/>
                <w:szCs w:val="22"/>
                <w:color w:val="auto"/>
              </w:rPr>
              <w:t>Money market funds</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35,345</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35,345</w:t>
            </w:r>
          </w:p>
        </w:tc>
      </w:tr>
      <w:tr>
        <w:trPr>
          <w:trHeight w:val="309"/>
        </w:trPr>
        <w:tc>
          <w:tcPr>
            <w:tcW w:w="4880" w:type="dxa"/>
            <w:vAlign w:val="bottom"/>
          </w:tcPr>
          <w:p>
            <w:pPr>
              <w:ind w:left="240"/>
              <w:spacing w:after="0"/>
              <w:rPr>
                <w:sz w:val="20"/>
                <w:szCs w:val="20"/>
                <w:color w:val="auto"/>
              </w:rPr>
            </w:pPr>
            <w:r>
              <w:rPr>
                <w:rFonts w:ascii="Arial" w:cs="Arial" w:eastAsia="Arial" w:hAnsi="Arial"/>
                <w:sz w:val="22"/>
                <w:szCs w:val="22"/>
                <w:color w:val="auto"/>
              </w:rPr>
              <w:t>Investments: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9"/>
        </w:trPr>
        <w:tc>
          <w:tcPr>
            <w:tcW w:w="4880" w:type="dxa"/>
            <w:vAlign w:val="bottom"/>
          </w:tcPr>
          <w:p>
            <w:pPr>
              <w:ind w:left="340"/>
              <w:spacing w:after="0"/>
              <w:rPr>
                <w:sz w:val="20"/>
                <w:szCs w:val="20"/>
                <w:color w:val="auto"/>
              </w:rPr>
            </w:pPr>
            <w:r>
              <w:rPr>
                <w:rFonts w:ascii="Arial" w:cs="Arial" w:eastAsia="Arial" w:hAnsi="Arial"/>
                <w:sz w:val="22"/>
                <w:szCs w:val="22"/>
                <w:color w:val="auto"/>
              </w:rPr>
              <w:t>Commercial paper</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34,914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34,914</w:t>
            </w:r>
          </w:p>
        </w:tc>
      </w:tr>
      <w:tr>
        <w:trPr>
          <w:trHeight w:val="311"/>
        </w:trPr>
        <w:tc>
          <w:tcPr>
            <w:tcW w:w="4880" w:type="dxa"/>
            <w:vAlign w:val="bottom"/>
          </w:tcPr>
          <w:p>
            <w:pPr>
              <w:ind w:left="340"/>
              <w:spacing w:after="0"/>
              <w:rPr>
                <w:sz w:val="20"/>
                <w:szCs w:val="20"/>
                <w:color w:val="auto"/>
              </w:rPr>
            </w:pPr>
            <w:r>
              <w:rPr>
                <w:rFonts w:ascii="Arial" w:cs="Arial" w:eastAsia="Arial" w:hAnsi="Arial"/>
                <w:sz w:val="22"/>
                <w:szCs w:val="22"/>
                <w:color w:val="auto"/>
              </w:rPr>
              <w:t>Corporate bonds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27,224</w:t>
            </w:r>
          </w:p>
        </w:tc>
      </w:tr>
      <w:tr>
        <w:trPr>
          <w:trHeight w:val="269"/>
        </w:trPr>
        <w:tc>
          <w:tcPr>
            <w:tcW w:w="4880" w:type="dxa"/>
            <w:vAlign w:val="bottom"/>
          </w:tcPr>
          <w:p>
            <w:pPr>
              <w:ind w:left="240"/>
              <w:spacing w:after="0"/>
              <w:rPr>
                <w:sz w:val="20"/>
                <w:szCs w:val="20"/>
                <w:color w:val="auto"/>
              </w:rPr>
            </w:pPr>
            <w:r>
              <w:rPr>
                <w:rFonts w:ascii="Arial" w:cs="Arial" w:eastAsia="Arial" w:hAnsi="Arial"/>
                <w:sz w:val="22"/>
                <w:szCs w:val="22"/>
                <w:color w:val="auto"/>
              </w:rPr>
              <w:t>Total</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35,345</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62,138</w:t>
            </w: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040" w:type="dxa"/>
            <w:vAlign w:val="bottom"/>
          </w:tcPr>
          <w:p>
            <w:pPr>
              <w:ind w:left="740"/>
              <w:spacing w:after="0"/>
              <w:rPr>
                <w:sz w:val="20"/>
                <w:szCs w:val="20"/>
                <w:color w:val="auto"/>
              </w:rPr>
            </w:pPr>
            <w:r>
              <w:rPr>
                <w:rFonts w:ascii="Arial" w:cs="Arial" w:eastAsia="Arial" w:hAnsi="Arial"/>
                <w:sz w:val="22"/>
                <w:szCs w:val="22"/>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97,483</w:t>
            </w:r>
          </w:p>
        </w:tc>
      </w:tr>
      <w:tr>
        <w:trPr>
          <w:trHeight w:val="20"/>
        </w:trPr>
        <w:tc>
          <w:tcPr>
            <w:tcW w:w="4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-1402715</wp:posOffset>
            </wp:positionV>
            <wp:extent cx="6522085" cy="140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extLst>
                    </a:blip>
                    <a:srcRect/>
                    <a:stretch>
                      <a:fillRect/>
                    </a:stretch>
                  </pic:blipFill>
                  <pic:spPr bwMode="auto">
                    <a:xfrm>
                      <a:off x="0" y="0"/>
                      <a:ext cx="6522085" cy="1409700"/>
                    </a:xfrm>
                    <a:prstGeom prst="rect">
                      <a:avLst/>
                    </a:prstGeom>
                    <a:noFill/>
                  </pic:spPr>
                </pic:pic>
              </a:graphicData>
            </a:graphic>
          </wp:anchor>
        </w:drawing>
      </w:r>
    </w:p>
    <w:p>
      <w:pPr>
        <w:spacing w:after="0" w:line="217"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transfers in or out of Level 3 categories in the periods presented.</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148</w:t>
      </w:r>
    </w:p>
    <w:p>
      <w:pPr>
        <w:sectPr>
          <w:pgSz w:w="11880" w:h="15480" w:orient="portrait"/>
          <w:cols w:equalWidth="0" w:num="1">
            <w:col w:w="10240"/>
          </w:cols>
          <w:pgMar w:left="820" w:top="670" w:right="820" w:bottom="0" w:gutter="0" w:footer="0" w:header="0"/>
          <w:type w:val="continuous"/>
        </w:sectPr>
      </w:pPr>
    </w:p>
    <w:bookmarkStart w:id="152" w:name="page153"/>
    <w:bookmarkEnd w:id="152"/>
    <w:p>
      <w:pPr>
        <w:spacing w:after="0"/>
        <w:rPr>
          <w:sz w:val="20"/>
          <w:szCs w:val="20"/>
          <w:color w:val="auto"/>
        </w:rPr>
      </w:pPr>
      <w:r>
        <w:rPr>
          <w:rFonts w:ascii="Arial" w:cs="Arial" w:eastAsia="Arial" w:hAnsi="Arial"/>
          <w:sz w:val="22"/>
          <w:szCs w:val="22"/>
          <w:b w:val="1"/>
          <w:bCs w:val="1"/>
          <w:color w:val="auto"/>
        </w:rPr>
        <w:t>4.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2025, investments were comprised of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3400425</wp:posOffset>
                </wp:positionH>
                <wp:positionV relativeFrom="paragraph">
                  <wp:posOffset>194945</wp:posOffset>
                </wp:positionV>
                <wp:extent cx="74676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15.35pt" to="326.55pt,15.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4184650</wp:posOffset>
                </wp:positionH>
                <wp:positionV relativeFrom="paragraph">
                  <wp:posOffset>194945</wp:posOffset>
                </wp:positionV>
                <wp:extent cx="74676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15.35pt" to="388.3pt,15.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4968240</wp:posOffset>
                </wp:positionH>
                <wp:positionV relativeFrom="paragraph">
                  <wp:posOffset>194945</wp:posOffset>
                </wp:positionV>
                <wp:extent cx="7467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2pt,15.35pt" to="450pt,15.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5752465</wp:posOffset>
                </wp:positionH>
                <wp:positionV relativeFrom="paragraph">
                  <wp:posOffset>194945</wp:posOffset>
                </wp:positionV>
                <wp:extent cx="74676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95pt,15.35pt" to="511.75pt,15.35pt" o:allowincell="f" strokecolor="#000000" strokeweight="1pt"/>
            </w:pict>
          </mc:Fallback>
        </mc:AlternateConten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20"/>
                <w:szCs w:val="20"/>
                <w:color w:val="auto"/>
                <w:w w:val="91"/>
              </w:rPr>
              <w:t>Amortized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20"/>
                <w:szCs w:val="20"/>
                <w:color w:val="auto"/>
                <w:w w:val="87"/>
              </w:rPr>
              <w:t>Unrealized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20"/>
                <w:szCs w:val="20"/>
                <w:color w:val="auto"/>
                <w:w w:val="87"/>
              </w:rPr>
              <w:t>Unrealized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58"/>
        </w:trPr>
        <w:tc>
          <w:tcPr>
            <w:tcW w:w="5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20"/>
                <w:szCs w:val="20"/>
                <w:color w:val="auto"/>
              </w:rPr>
              <w:t>Cost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20"/>
                <w:szCs w:val="20"/>
                <w:color w:val="auto"/>
              </w:rPr>
              <w:t>Gains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20"/>
                <w:szCs w:val="20"/>
                <w:color w:val="auto"/>
              </w:rPr>
              <w:t>Losses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300" w:type="dxa"/>
            <w:vAlign w:val="bottom"/>
          </w:tcPr>
          <w:p>
            <w:pPr>
              <w:spacing w:after="0"/>
              <w:rPr>
                <w:sz w:val="20"/>
                <w:szCs w:val="20"/>
                <w:color w:val="auto"/>
              </w:rPr>
            </w:pPr>
            <w:r>
              <w:rPr>
                <w:rFonts w:ascii="Arial" w:cs="Arial" w:eastAsia="Arial" w:hAnsi="Arial"/>
                <w:sz w:val="22"/>
                <w:szCs w:val="22"/>
                <w:color w:val="auto"/>
              </w:rPr>
              <w:t>Commercial paper</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14,878</w:t>
            </w:r>
          </w:p>
        </w:tc>
        <w:tc>
          <w:tcPr>
            <w:tcW w:w="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8</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14,885</w:t>
            </w:r>
          </w:p>
        </w:tc>
        <w:tc>
          <w:tcPr>
            <w:tcW w:w="0" w:type="dxa"/>
            <w:vAlign w:val="bottom"/>
          </w:tcPr>
          <w:p>
            <w:pPr>
              <w:spacing w:after="0"/>
              <w:rPr>
                <w:sz w:val="1"/>
                <w:szCs w:val="1"/>
                <w:color w:val="auto"/>
              </w:rPr>
            </w:pPr>
          </w:p>
        </w:tc>
      </w:tr>
      <w:tr>
        <w:trPr>
          <w:trHeight w:val="309"/>
        </w:trPr>
        <w:tc>
          <w:tcPr>
            <w:tcW w:w="5300" w:type="dxa"/>
            <w:vAlign w:val="bottom"/>
          </w:tcPr>
          <w:p>
            <w:pPr>
              <w:spacing w:after="0"/>
              <w:rPr>
                <w:sz w:val="20"/>
                <w:szCs w:val="20"/>
                <w:color w:val="auto"/>
              </w:rPr>
            </w:pPr>
            <w:r>
              <w:rPr>
                <w:rFonts w:ascii="Arial" w:cs="Arial" w:eastAsia="Arial" w:hAnsi="Arial"/>
                <w:sz w:val="22"/>
                <w:szCs w:val="22"/>
                <w:color w:val="auto"/>
              </w:rPr>
              <w:t>Corporate bonds</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78,652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78,745</w:t>
            </w:r>
          </w:p>
        </w:tc>
        <w:tc>
          <w:tcPr>
            <w:tcW w:w="0" w:type="dxa"/>
            <w:vAlign w:val="bottom"/>
          </w:tcPr>
          <w:p>
            <w:pPr>
              <w:spacing w:after="0"/>
              <w:rPr>
                <w:sz w:val="1"/>
                <w:szCs w:val="1"/>
                <w:color w:val="auto"/>
              </w:rPr>
            </w:pPr>
          </w:p>
        </w:tc>
      </w:tr>
      <w:tr>
        <w:trPr>
          <w:trHeight w:val="311"/>
        </w:trPr>
        <w:tc>
          <w:tcPr>
            <w:tcW w:w="5300" w:type="dxa"/>
            <w:vAlign w:val="bottom"/>
          </w:tcPr>
          <w:p>
            <w:pPr>
              <w:spacing w:after="0"/>
              <w:rPr>
                <w:sz w:val="20"/>
                <w:szCs w:val="20"/>
                <w:color w:val="auto"/>
              </w:rPr>
            </w:pPr>
            <w:r>
              <w:rPr>
                <w:rFonts w:ascii="Arial" w:cs="Arial" w:eastAsia="Arial" w:hAnsi="Arial"/>
                <w:sz w:val="22"/>
                <w:szCs w:val="22"/>
                <w:color w:val="auto"/>
              </w:rPr>
              <w:t>U.S. Government agencies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14,031</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14,032</w:t>
            </w:r>
          </w:p>
        </w:tc>
        <w:tc>
          <w:tcPr>
            <w:tcW w:w="0" w:type="dxa"/>
            <w:vAlign w:val="bottom"/>
          </w:tcPr>
          <w:p>
            <w:pPr>
              <w:spacing w:after="0"/>
              <w:rPr>
                <w:sz w:val="1"/>
                <w:szCs w:val="1"/>
                <w:color w:val="auto"/>
              </w:rPr>
            </w:pPr>
          </w:p>
        </w:tc>
      </w:tr>
      <w:tr>
        <w:trPr>
          <w:trHeight w:val="269"/>
        </w:trPr>
        <w:tc>
          <w:tcPr>
            <w:tcW w:w="5300" w:type="dxa"/>
            <w:vAlign w:val="bottom"/>
          </w:tcPr>
          <w:p>
            <w:pPr>
              <w:spacing w:after="0"/>
              <w:rPr>
                <w:sz w:val="20"/>
                <w:szCs w:val="20"/>
                <w:color w:val="auto"/>
              </w:rPr>
            </w:pPr>
            <w:r>
              <w:rPr>
                <w:rFonts w:ascii="Arial" w:cs="Arial" w:eastAsia="Arial" w:hAnsi="Arial"/>
                <w:sz w:val="22"/>
                <w:szCs w:val="22"/>
                <w:color w:val="auto"/>
              </w:rPr>
              <w:t>Total</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107,561</w:t>
            </w:r>
          </w:p>
        </w:tc>
        <w:tc>
          <w:tcPr>
            <w:tcW w:w="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124</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(23)</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107,662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-814705</wp:posOffset>
            </wp:positionV>
            <wp:extent cx="6522085" cy="821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extLst>
                    </a:blip>
                    <a:srcRect/>
                    <a:stretch>
                      <a:fillRect/>
                    </a:stretch>
                  </pic:blipFill>
                  <pic:spPr bwMode="auto">
                    <a:xfrm>
                      <a:off x="0" y="0"/>
                      <a:ext cx="6522085" cy="8216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2024, investments were comprised of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3400425</wp:posOffset>
                </wp:positionH>
                <wp:positionV relativeFrom="paragraph">
                  <wp:posOffset>194945</wp:posOffset>
                </wp:positionV>
                <wp:extent cx="74676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75pt,15.35pt" to="326.55pt,15.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4184650</wp:posOffset>
                </wp:positionH>
                <wp:positionV relativeFrom="paragraph">
                  <wp:posOffset>194945</wp:posOffset>
                </wp:positionV>
                <wp:extent cx="74676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15.35pt" to="388.3pt,15.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4968240</wp:posOffset>
                </wp:positionH>
                <wp:positionV relativeFrom="paragraph">
                  <wp:posOffset>194945</wp:posOffset>
                </wp:positionV>
                <wp:extent cx="74676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2pt,15.35pt" to="450pt,15.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5752465</wp:posOffset>
                </wp:positionH>
                <wp:positionV relativeFrom="paragraph">
                  <wp:posOffset>194945</wp:posOffset>
                </wp:positionV>
                <wp:extent cx="74676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95pt,15.35pt" to="511.75pt,15.35pt" o:allowincell="f" strokecolor="#000000" strokeweight="1pt"/>
            </w:pict>
          </mc:Fallback>
        </mc:AlternateConten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76"/>
              <w:spacing w:after="0"/>
              <w:rPr>
                <w:sz w:val="20"/>
                <w:szCs w:val="20"/>
                <w:color w:val="auto"/>
              </w:rPr>
            </w:pPr>
            <w:r>
              <w:rPr>
                <w:rFonts w:ascii="Arial" w:cs="Arial" w:eastAsia="Arial" w:hAnsi="Arial"/>
                <w:sz w:val="20"/>
                <w:szCs w:val="20"/>
                <w:color w:val="auto"/>
                <w:w w:val="91"/>
              </w:rPr>
              <w:t>Amortized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20"/>
                <w:szCs w:val="20"/>
                <w:color w:val="auto"/>
                <w:w w:val="87"/>
              </w:rPr>
              <w:t>Unrealized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Arial" w:cs="Arial" w:eastAsia="Arial" w:hAnsi="Arial"/>
                <w:sz w:val="20"/>
                <w:szCs w:val="20"/>
                <w:color w:val="auto"/>
                <w:w w:val="87"/>
              </w:rPr>
              <w:t>Unrealized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58"/>
        </w:trPr>
        <w:tc>
          <w:tcPr>
            <w:tcW w:w="5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20"/>
                <w:szCs w:val="20"/>
                <w:color w:val="auto"/>
              </w:rPr>
              <w:t>Cost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20"/>
                <w:szCs w:val="20"/>
                <w:color w:val="auto"/>
              </w:rPr>
              <w:t>Gains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20"/>
                <w:szCs w:val="20"/>
                <w:color w:val="auto"/>
              </w:rPr>
              <w:t>Losses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300" w:type="dxa"/>
            <w:vAlign w:val="bottom"/>
          </w:tcPr>
          <w:p>
            <w:pPr>
              <w:spacing w:after="0"/>
              <w:rPr>
                <w:sz w:val="20"/>
                <w:szCs w:val="20"/>
                <w:color w:val="auto"/>
              </w:rPr>
            </w:pPr>
            <w:r>
              <w:rPr>
                <w:rFonts w:ascii="Arial" w:cs="Arial" w:eastAsia="Arial" w:hAnsi="Arial"/>
                <w:sz w:val="22"/>
                <w:szCs w:val="22"/>
                <w:color w:val="auto"/>
              </w:rPr>
              <w:t>Commercial paper</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34,900</w:t>
            </w:r>
          </w:p>
        </w:tc>
        <w:tc>
          <w:tcPr>
            <w:tcW w:w="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19</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(5)</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34,914</w:t>
            </w:r>
          </w:p>
        </w:tc>
        <w:tc>
          <w:tcPr>
            <w:tcW w:w="0" w:type="dxa"/>
            <w:vAlign w:val="bottom"/>
          </w:tcPr>
          <w:p>
            <w:pPr>
              <w:spacing w:after="0"/>
              <w:rPr>
                <w:sz w:val="1"/>
                <w:szCs w:val="1"/>
                <w:color w:val="auto"/>
              </w:rPr>
            </w:pPr>
          </w:p>
        </w:tc>
      </w:tr>
      <w:tr>
        <w:trPr>
          <w:trHeight w:val="311"/>
        </w:trPr>
        <w:tc>
          <w:tcPr>
            <w:tcW w:w="5300" w:type="dxa"/>
            <w:vAlign w:val="bottom"/>
          </w:tcPr>
          <w:p>
            <w:pPr>
              <w:spacing w:after="0"/>
              <w:rPr>
                <w:sz w:val="20"/>
                <w:szCs w:val="20"/>
                <w:color w:val="auto"/>
              </w:rPr>
            </w:pPr>
            <w:r>
              <w:rPr>
                <w:rFonts w:ascii="Arial" w:cs="Arial" w:eastAsia="Arial" w:hAnsi="Arial"/>
                <w:sz w:val="22"/>
                <w:szCs w:val="22"/>
                <w:color w:val="auto"/>
              </w:rPr>
              <w:t>Corporate bonds</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27,214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27,224</w:t>
            </w:r>
          </w:p>
        </w:tc>
        <w:tc>
          <w:tcPr>
            <w:tcW w:w="0" w:type="dxa"/>
            <w:vAlign w:val="bottom"/>
          </w:tcPr>
          <w:p>
            <w:pPr>
              <w:spacing w:after="0"/>
              <w:rPr>
                <w:sz w:val="1"/>
                <w:szCs w:val="1"/>
                <w:color w:val="auto"/>
              </w:rPr>
            </w:pPr>
          </w:p>
        </w:tc>
      </w:tr>
      <w:tr>
        <w:trPr>
          <w:trHeight w:val="269"/>
        </w:trPr>
        <w:tc>
          <w:tcPr>
            <w:tcW w:w="5300" w:type="dxa"/>
            <w:vAlign w:val="bottom"/>
          </w:tcPr>
          <w:p>
            <w:pPr>
              <w:spacing w:after="0"/>
              <w:rPr>
                <w:sz w:val="20"/>
                <w:szCs w:val="20"/>
                <w:color w:val="auto"/>
              </w:rPr>
            </w:pPr>
            <w:r>
              <w:rPr>
                <w:rFonts w:ascii="Arial" w:cs="Arial" w:eastAsia="Arial" w:hAnsi="Arial"/>
                <w:sz w:val="22"/>
                <w:szCs w:val="22"/>
                <w:color w:val="auto"/>
              </w:rPr>
              <w:t>Total</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62,114</w:t>
            </w:r>
          </w:p>
        </w:tc>
        <w:tc>
          <w:tcPr>
            <w:tcW w:w="2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43</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(19)</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62,138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-619125</wp:posOffset>
            </wp:positionV>
            <wp:extent cx="6522085" cy="626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6">
                      <a:extLst>
                        <a:ext uri="{28A0092B-C50C-407E-A947-70E740481C1C}"/>
                      </a:extLst>
                    </a:blip>
                    <a:srcRect/>
                    <a:stretch>
                      <a:fillRect/>
                    </a:stretch>
                  </pic:blipFill>
                  <pic:spPr bwMode="auto">
                    <a:xfrm>
                      <a:off x="0" y="0"/>
                      <a:ext cx="6522085" cy="626110"/>
                    </a:xfrm>
                    <a:prstGeom prst="rect">
                      <a:avLst/>
                    </a:prstGeom>
                    <a:noFill/>
                  </pic:spPr>
                </pic:pic>
              </a:graphicData>
            </a:graphic>
          </wp:anchor>
        </w:drawing>
      </w:r>
    </w:p>
    <w:p>
      <w:pPr>
        <w:spacing w:after="0" w:line="217" w:lineRule="exact"/>
        <w:rPr>
          <w:sz w:val="20"/>
          <w:szCs w:val="20"/>
          <w:color w:val="auto"/>
        </w:rPr>
      </w:pPr>
    </w:p>
    <w:p>
      <w:pPr>
        <w:ind w:right="460"/>
        <w:spacing w:after="0" w:line="271" w:lineRule="auto"/>
        <w:rPr>
          <w:sz w:val="20"/>
          <w:szCs w:val="20"/>
          <w:color w:val="auto"/>
        </w:rPr>
      </w:pPr>
      <w:r>
        <w:rPr>
          <w:rFonts w:ascii="Arial" w:cs="Arial" w:eastAsia="Arial" w:hAnsi="Arial"/>
          <w:sz w:val="22"/>
          <w:szCs w:val="22"/>
          <w:color w:val="auto"/>
        </w:rPr>
        <w:t>As of December 31, 2025, all marketable securities held by the Company had remaining contractual maturities of three years or less.</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22"/>
          <w:szCs w:val="22"/>
          <w:color w:val="auto"/>
        </w:rPr>
        <w:t>As of December 31, 2024, all marketable securities held by the Company had remaining contractual maturities of one year or less.</w:t>
      </w:r>
    </w:p>
    <w:p>
      <w:pPr>
        <w:spacing w:after="0" w:line="181" w:lineRule="exact"/>
        <w:rPr>
          <w:sz w:val="20"/>
          <w:szCs w:val="20"/>
          <w:color w:val="auto"/>
        </w:rPr>
      </w:pPr>
    </w:p>
    <w:p>
      <w:pPr>
        <w:ind w:right="80"/>
        <w:spacing w:after="0" w:line="280" w:lineRule="auto"/>
        <w:rPr>
          <w:sz w:val="20"/>
          <w:szCs w:val="20"/>
          <w:color w:val="auto"/>
        </w:rPr>
      </w:pPr>
      <w:r>
        <w:rPr>
          <w:rFonts w:ascii="Arial" w:cs="Arial" w:eastAsia="Arial" w:hAnsi="Arial"/>
          <w:sz w:val="20"/>
          <w:szCs w:val="20"/>
          <w:color w:val="auto"/>
        </w:rPr>
        <w:t>As of December 31, 2025 and 2024, the Company reviewed its investment portfolio to assess the unrealized losses on its available-for-sale investments. In assessing the value of these securities, the Company evaluated whether it intended to sell the security and whether it was more likely than not that the Company would be required to sell the security before recovering its amortized cost basis. The Company also determined no portion of the unrealized losses relate to a credit loss. There have been no impairments of the Company’s assets measured and carried at fair value during the years ended December 31,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620" w:type="dxa"/>
            <w:vAlign w:val="bottom"/>
          </w:tcPr>
          <w:p>
            <w:pPr>
              <w:spacing w:after="0"/>
              <w:rPr>
                <w:sz w:val="20"/>
                <w:szCs w:val="20"/>
                <w:color w:val="auto"/>
              </w:rPr>
            </w:pPr>
            <w:r>
              <w:rPr>
                <w:rFonts w:ascii="Arial" w:cs="Arial" w:eastAsia="Arial" w:hAnsi="Arial"/>
                <w:sz w:val="22"/>
                <w:szCs w:val="22"/>
                <w:b w:val="1"/>
                <w:bCs w:val="1"/>
                <w:color w:val="auto"/>
              </w:rPr>
              <w:t>5. PROPERTY AND EQUIPMENT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7620" w:type="dxa"/>
            <w:vAlign w:val="bottom"/>
          </w:tcPr>
          <w:p>
            <w:pPr>
              <w:spacing w:after="0"/>
              <w:rPr>
                <w:sz w:val="20"/>
                <w:szCs w:val="20"/>
                <w:color w:val="auto"/>
              </w:rPr>
            </w:pPr>
            <w:r>
              <w:rPr>
                <w:rFonts w:ascii="Arial" w:cs="Arial" w:eastAsia="Arial" w:hAnsi="Arial"/>
                <w:sz w:val="22"/>
                <w:szCs w:val="22"/>
                <w:color w:val="auto"/>
              </w:rPr>
              <w:t>Property and equipment, net consisted of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45"/>
        </w:trPr>
        <w:tc>
          <w:tcPr>
            <w:tcW w:w="7620" w:type="dxa"/>
            <w:vAlign w:val="bottom"/>
            <w:vMerge w:val="restart"/>
          </w:tcPr>
          <w:p>
            <w:pPr>
              <w:ind w:left="60"/>
              <w:spacing w:after="0"/>
              <w:rPr>
                <w:sz w:val="20"/>
                <w:szCs w:val="20"/>
                <w:color w:val="auto"/>
              </w:rPr>
            </w:pPr>
            <w:r>
              <w:rPr>
                <w:rFonts w:ascii="Arial" w:cs="Arial" w:eastAsia="Arial" w:hAnsi="Arial"/>
                <w:sz w:val="22"/>
                <w:szCs w:val="22"/>
                <w:color w:val="auto"/>
              </w:rPr>
              <w:t>Furniture and fixtures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2"/>
              <w:spacing w:after="0" w:line="245" w:lineRule="exact"/>
              <w:rPr>
                <w:sz w:val="20"/>
                <w:szCs w:val="20"/>
                <w:color w:val="auto"/>
              </w:rPr>
            </w:pPr>
            <w:r>
              <w:rPr>
                <w:rFonts w:ascii="Arial" w:cs="Arial" w:eastAsia="Arial" w:hAnsi="Arial"/>
                <w:sz w:val="22"/>
                <w:szCs w:val="22"/>
                <w:color w:val="auto"/>
              </w:rPr>
              <w:t>2025</w:t>
            </w:r>
          </w:p>
        </w:tc>
        <w:tc>
          <w:tcPr>
            <w:tcW w:w="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2"/>
              <w:spacing w:after="0" w:line="245" w:lineRule="exact"/>
              <w:rPr>
                <w:sz w:val="20"/>
                <w:szCs w:val="20"/>
                <w:color w:val="auto"/>
              </w:rPr>
            </w:pPr>
            <w:r>
              <w:rPr>
                <w:rFonts w:ascii="Arial" w:cs="Arial" w:eastAsia="Arial" w:hAnsi="Arial"/>
                <w:sz w:val="22"/>
                <w:szCs w:val="22"/>
                <w:color w:val="auto"/>
              </w:rPr>
              <w:t>2024</w:t>
            </w:r>
          </w:p>
        </w:tc>
        <w:tc>
          <w:tcPr>
            <w:tcW w:w="0" w:type="dxa"/>
            <w:vAlign w:val="bottom"/>
          </w:tcPr>
          <w:p>
            <w:pPr>
              <w:spacing w:after="0"/>
              <w:rPr>
                <w:sz w:val="1"/>
                <w:szCs w:val="1"/>
                <w:color w:val="auto"/>
              </w:rPr>
            </w:pPr>
          </w:p>
        </w:tc>
      </w:tr>
      <w:tr>
        <w:trPr>
          <w:trHeight w:val="280"/>
        </w:trPr>
        <w:tc>
          <w:tcPr>
            <w:tcW w:w="7620" w:type="dxa"/>
            <w:vAlign w:val="bottom"/>
            <w:vMerge w:val="continue"/>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88"/>
        </w:trPr>
        <w:tc>
          <w:tcPr>
            <w:tcW w:w="7620" w:type="dxa"/>
            <w:vAlign w:val="bottom"/>
          </w:tcPr>
          <w:p>
            <w:pPr>
              <w:ind w:left="60"/>
              <w:spacing w:after="0"/>
              <w:rPr>
                <w:sz w:val="20"/>
                <w:szCs w:val="20"/>
                <w:color w:val="auto"/>
              </w:rPr>
            </w:pPr>
            <w:r>
              <w:rPr>
                <w:rFonts w:ascii="Arial" w:cs="Arial" w:eastAsia="Arial" w:hAnsi="Arial"/>
                <w:sz w:val="22"/>
                <w:szCs w:val="22"/>
                <w:color w:val="auto"/>
              </w:rPr>
              <w:t>Leasehold improvements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2,512</w:t>
            </w:r>
          </w:p>
        </w:tc>
        <w:tc>
          <w:tcPr>
            <w:tcW w:w="0" w:type="dxa"/>
            <w:vAlign w:val="bottom"/>
          </w:tcPr>
          <w:p>
            <w:pPr>
              <w:spacing w:after="0"/>
              <w:rPr>
                <w:sz w:val="1"/>
                <w:szCs w:val="1"/>
                <w:color w:val="auto"/>
              </w:rPr>
            </w:pPr>
          </w:p>
        </w:tc>
      </w:tr>
      <w:tr>
        <w:trPr>
          <w:trHeight w:val="280"/>
        </w:trPr>
        <w:tc>
          <w:tcPr>
            <w:tcW w:w="7620" w:type="dxa"/>
            <w:vAlign w:val="bottom"/>
          </w:tcPr>
          <w:p>
            <w:pPr>
              <w:ind w:left="300"/>
              <w:spacing w:after="0"/>
              <w:rPr>
                <w:sz w:val="20"/>
                <w:szCs w:val="20"/>
                <w:color w:val="auto"/>
              </w:rPr>
            </w:pPr>
            <w:r>
              <w:rPr>
                <w:rFonts w:ascii="Arial" w:cs="Arial" w:eastAsia="Arial" w:hAnsi="Arial"/>
                <w:sz w:val="22"/>
                <w:szCs w:val="22"/>
                <w:color w:val="auto"/>
              </w:rPr>
              <w:t>Property and equipment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1,593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2,529</w:t>
            </w:r>
          </w:p>
        </w:tc>
        <w:tc>
          <w:tcPr>
            <w:tcW w:w="0" w:type="dxa"/>
            <w:vAlign w:val="bottom"/>
          </w:tcPr>
          <w:p>
            <w:pPr>
              <w:spacing w:after="0"/>
              <w:rPr>
                <w:sz w:val="1"/>
                <w:szCs w:val="1"/>
                <w:color w:val="auto"/>
              </w:rPr>
            </w:pPr>
          </w:p>
        </w:tc>
      </w:tr>
      <w:tr>
        <w:trPr>
          <w:trHeight w:val="288"/>
        </w:trPr>
        <w:tc>
          <w:tcPr>
            <w:tcW w:w="7620" w:type="dxa"/>
            <w:vAlign w:val="bottom"/>
          </w:tcPr>
          <w:p>
            <w:pPr>
              <w:ind w:left="60"/>
              <w:spacing w:after="0"/>
              <w:rPr>
                <w:sz w:val="20"/>
                <w:szCs w:val="20"/>
                <w:color w:val="auto"/>
              </w:rPr>
            </w:pPr>
            <w:r>
              <w:rPr>
                <w:rFonts w:ascii="Arial" w:cs="Arial" w:eastAsia="Arial" w:hAnsi="Arial"/>
                <w:sz w:val="22"/>
                <w:szCs w:val="22"/>
                <w:color w:val="auto"/>
              </w:rPr>
              <w:t>Less: accumulated depreciation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(1,142)</w:t>
            </w:r>
          </w:p>
        </w:tc>
        <w:tc>
          <w:tcPr>
            <w:tcW w:w="0" w:type="dxa"/>
            <w:vAlign w:val="bottom"/>
          </w:tcPr>
          <w:p>
            <w:pPr>
              <w:spacing w:after="0"/>
              <w:rPr>
                <w:sz w:val="1"/>
                <w:szCs w:val="1"/>
                <w:color w:val="auto"/>
              </w:rPr>
            </w:pPr>
          </w:p>
        </w:tc>
      </w:tr>
      <w:tr>
        <w:trPr>
          <w:trHeight w:val="254"/>
        </w:trPr>
        <w:tc>
          <w:tcPr>
            <w:tcW w:w="7620" w:type="dxa"/>
            <w:vAlign w:val="bottom"/>
          </w:tcPr>
          <w:p>
            <w:pPr>
              <w:ind w:left="60"/>
              <w:spacing w:after="0"/>
              <w:rPr>
                <w:sz w:val="20"/>
                <w:szCs w:val="20"/>
                <w:color w:val="auto"/>
              </w:rPr>
            </w:pPr>
            <w:r>
              <w:rPr>
                <w:rFonts w:ascii="Arial" w:cs="Arial" w:eastAsia="Arial" w:hAnsi="Arial"/>
                <w:sz w:val="22"/>
                <w:szCs w:val="22"/>
                <w:color w:val="auto"/>
              </w:rPr>
              <w:t>Total Property and Equipment, net</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365</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4838065</wp:posOffset>
                </wp:positionH>
                <wp:positionV relativeFrom="paragraph">
                  <wp:posOffset>-1120140</wp:posOffset>
                </wp:positionV>
                <wp:extent cx="8489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95pt,-88.1999pt" to="447.8pt,-88.1999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-964565</wp:posOffset>
            </wp:positionV>
            <wp:extent cx="6522085" cy="971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7">
                      <a:extLst>
                        <a:ext uri="{28A0092B-C50C-407E-A947-70E740481C1C}"/>
                      </a:extLst>
                    </a:blip>
                    <a:srcRect/>
                    <a:stretch>
                      <a:fillRect/>
                    </a:stretch>
                  </pic:blipFill>
                  <pic:spPr bwMode="auto">
                    <a:xfrm>
                      <a:off x="0" y="0"/>
                      <a:ext cx="6522085" cy="97155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 for the years ended December 31, 2025 and 2024 was $325 and $343, respectively.</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149</w:t>
      </w:r>
    </w:p>
    <w:p>
      <w:pPr>
        <w:sectPr>
          <w:pgSz w:w="11880" w:h="15480" w:orient="portrait"/>
          <w:cols w:equalWidth="0" w:num="1">
            <w:col w:w="10240"/>
          </w:cols>
          <w:pgMar w:left="820" w:top="670" w:right="820" w:bottom="0" w:gutter="0" w:footer="0" w:header="0"/>
          <w:type w:val="continuous"/>
        </w:sectPr>
      </w:pPr>
    </w:p>
    <w:bookmarkStart w:id="153" w:name="page154"/>
    <w:bookmarkEnd w:id="153"/>
    <w:p>
      <w:pPr>
        <w:spacing w:after="0"/>
        <w:rPr>
          <w:sz w:val="20"/>
          <w:szCs w:val="20"/>
          <w:color w:val="auto"/>
        </w:rPr>
      </w:pPr>
      <w:r>
        <w:rPr>
          <w:rFonts w:ascii="Arial" w:cs="Arial" w:eastAsia="Arial" w:hAnsi="Arial"/>
          <w:sz w:val="22"/>
          <w:szCs w:val="22"/>
          <w:b w:val="1"/>
          <w:bCs w:val="1"/>
          <w:color w:val="auto"/>
        </w:rPr>
        <w:t>6. EQUITY METHOD INVESTMENT</w:t>
      </w:r>
    </w:p>
    <w:p>
      <w:pPr>
        <w:spacing w:after="0" w:line="248"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In December 2022, the Company received 9,000,000 shares of common stock in a newly formed antibody-focused precision oncology company, Revelio Therapeutics, Inc. (Revelio) (formerly known as Launchpad Therapeutics, Inc.), in exchange for contributing early discovery-stage antibody programs and granting Revelio a license to use its MAP drug discovery engine to discover, develop and commercialize large molecule therapeutics. As of December 31, 2025 and 2024, the Company had a voting interest in Revelio of 15.1% and 20.8%, respectively, and one seat on Revelio’s Board of Directors, which provide the Company with significant influence over Revelio. Other investors in Revelio include Versant Ventures and New Enterprise Associates (NEA), who are shareholders of the Company.</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Company accounted for the transaction under the equity method. As of the year ended December 31, 2025 and 2024, the carrying value of the investment in Revelio was zero. Since the Company has no obligation to provide financing support to Revelio, the Company is not required to record further losses exceeding the carrying value of the investment. The Company also determined that its investment in Revelio is not material or significant to its operations or financial position.</w:t>
      </w:r>
    </w:p>
    <w:p>
      <w:pPr>
        <w:sectPr>
          <w:pgSz w:w="11880" w:h="15480" w:orient="portrait"/>
          <w:cols w:equalWidth="0" w:num="1">
            <w:col w:w="10200"/>
          </w:cols>
          <w:pgMar w:left="820" w:top="670" w:right="860"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ACCRUED EXPENSES</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438150</wp:posOffset>
            </wp:positionV>
            <wp:extent cx="6522085" cy="1017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8">
                      <a:extLst>
                        <a:ext uri="{28A0092B-C50C-407E-A947-70E740481C1C}"/>
                      </a:extLst>
                    </a:blip>
                    <a:srcRect/>
                    <a:stretch>
                      <a:fillRect/>
                    </a:stretch>
                  </pic:blipFill>
                  <pic:spPr bwMode="auto">
                    <a:xfrm>
                      <a:off x="0" y="0"/>
                      <a:ext cx="6522085" cy="101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22"/>
          <w:szCs w:val="22"/>
          <w:color w:val="auto"/>
        </w:rPr>
        <w:t>Accrued research and development costs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auto"/>
        </w:rPr>
        <w:t>Payroll and related expenses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auto"/>
        </w:rPr>
        <w:t>Professional and consulting fees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auto"/>
        </w:rPr>
        <w:t>Current portion of operating lease liability</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22"/>
          <w:szCs w:val="22"/>
          <w:color w:val="auto"/>
        </w:rPr>
        <w:t>Total accrued expenses and other current liabilities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2020 Stock Option and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30480</wp:posOffset>
                </wp:positionV>
                <wp:extent cx="16605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0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4pt" to="127.75pt,2.4pt" o:allowincell="f" strokecolor="#000000" strokeweight="1pt"/>
            </w:pict>
          </mc:Fallback>
        </mc:AlternateContent>
      </w:r>
    </w:p>
    <w:p>
      <w:pPr>
        <w:spacing w:after="0" w:line="36"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22"/>
          <w:szCs w:val="22"/>
          <w:color w:val="auto"/>
        </w:rPr>
        <w:t>2025</w:t>
      </w:r>
      <w:r>
        <w:rPr>
          <w:sz w:val="20"/>
          <w:szCs w:val="20"/>
          <w:color w:val="auto"/>
        </w:rPr>
        <w:tab/>
      </w:r>
      <w:r>
        <w:rPr>
          <w:rFonts w:ascii="Arial" w:cs="Arial" w:eastAsia="Arial" w:hAnsi="Arial"/>
          <w:sz w:val="22"/>
          <w:szCs w:val="22"/>
          <w:color w:val="auto"/>
        </w:rPr>
        <w:t>2024</w:t>
      </w:r>
    </w:p>
    <w:p>
      <w:pPr>
        <w:spacing w:after="0" w:line="51" w:lineRule="exact"/>
        <w:rPr>
          <w:sz w:val="20"/>
          <w:szCs w:val="20"/>
          <w:color w:val="auto"/>
        </w:rPr>
      </w:pPr>
    </w:p>
    <w:p>
      <w:pPr>
        <w:spacing w:after="0"/>
        <w:tabs>
          <w:tab w:leader="none" w:pos="620" w:val="left"/>
          <w:tab w:leader="none" w:pos="1300" w:val="left"/>
          <w:tab w:leader="none" w:pos="1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7,951</w:t>
        <w:tab/>
        <w:t>$</w:t>
      </w:r>
      <w:r>
        <w:rPr>
          <w:sz w:val="20"/>
          <w:szCs w:val="20"/>
          <w:color w:val="auto"/>
        </w:rPr>
        <w:tab/>
      </w:r>
      <w:r>
        <w:rPr>
          <w:rFonts w:ascii="Arial" w:cs="Arial" w:eastAsia="Arial" w:hAnsi="Arial"/>
          <w:sz w:val="19"/>
          <w:szCs w:val="19"/>
          <w:color w:val="auto"/>
        </w:rPr>
        <w:t>8,226</w:t>
      </w:r>
    </w:p>
    <w:p>
      <w:pPr>
        <w:spacing w:after="0" w:line="56" w:lineRule="exact"/>
        <w:rPr>
          <w:sz w:val="20"/>
          <w:szCs w:val="20"/>
          <w:color w:val="auto"/>
        </w:rPr>
      </w:pPr>
    </w:p>
    <w:p>
      <w:pPr>
        <w:jc w:val="both"/>
        <w:ind w:left="640"/>
        <w:spacing w:after="0"/>
        <w:tabs>
          <w:tab w:leader="none" w:pos="1960" w:val="left"/>
        </w:tabs>
        <w:rPr>
          <w:sz w:val="20"/>
          <w:szCs w:val="20"/>
          <w:color w:val="auto"/>
        </w:rPr>
      </w:pPr>
      <w:r>
        <w:rPr>
          <w:rFonts w:ascii="Arial" w:cs="Arial" w:eastAsia="Arial" w:hAnsi="Arial"/>
          <w:sz w:val="22"/>
          <w:szCs w:val="22"/>
          <w:color w:val="auto"/>
        </w:rPr>
        <w:t>2,923</w:t>
      </w:r>
      <w:r>
        <w:rPr>
          <w:sz w:val="20"/>
          <w:szCs w:val="20"/>
          <w:color w:val="auto"/>
        </w:rPr>
        <w:tab/>
      </w:r>
      <w:r>
        <w:rPr>
          <w:rFonts w:ascii="Arial" w:cs="Arial" w:eastAsia="Arial" w:hAnsi="Arial"/>
          <w:sz w:val="22"/>
          <w:szCs w:val="22"/>
          <w:color w:val="auto"/>
        </w:rPr>
        <w:t>4,373</w:t>
      </w:r>
    </w:p>
    <w:p>
      <w:pPr>
        <w:spacing w:after="0" w:line="56"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22"/>
          <w:szCs w:val="22"/>
          <w:color w:val="auto"/>
        </w:rPr>
        <w:t>565</w:t>
      </w:r>
      <w:r>
        <w:rPr>
          <w:sz w:val="20"/>
          <w:szCs w:val="20"/>
          <w:color w:val="auto"/>
        </w:rPr>
        <w:tab/>
      </w:r>
      <w:r>
        <w:rPr>
          <w:rFonts w:ascii="Arial" w:cs="Arial" w:eastAsia="Arial" w:hAnsi="Arial"/>
          <w:sz w:val="22"/>
          <w:szCs w:val="22"/>
          <w:color w:val="auto"/>
        </w:rPr>
        <w:t>563</w:t>
      </w:r>
    </w:p>
    <w:p>
      <w:pPr>
        <w:spacing w:after="0" w:line="56" w:lineRule="exact"/>
        <w:rPr>
          <w:sz w:val="20"/>
          <w:szCs w:val="20"/>
          <w:color w:val="auto"/>
        </w:rPr>
      </w:pPr>
    </w:p>
    <w:p>
      <w:pPr>
        <w:jc w:val="both"/>
        <w:ind w:left="640"/>
        <w:spacing w:after="0"/>
        <w:tabs>
          <w:tab w:leader="none" w:pos="1960" w:val="left"/>
        </w:tabs>
        <w:rPr>
          <w:sz w:val="20"/>
          <w:szCs w:val="20"/>
          <w:color w:val="auto"/>
        </w:rPr>
      </w:pPr>
      <w:r>
        <w:rPr>
          <w:rFonts w:ascii="Arial" w:cs="Arial" w:eastAsia="Arial" w:hAnsi="Arial"/>
          <w:sz w:val="22"/>
          <w:szCs w:val="22"/>
          <w:color w:val="auto"/>
        </w:rPr>
        <w:t>3,713</w:t>
      </w:r>
      <w:r>
        <w:rPr>
          <w:sz w:val="20"/>
          <w:szCs w:val="20"/>
          <w:color w:val="auto"/>
        </w:rPr>
        <w:tab/>
      </w:r>
      <w:r>
        <w:rPr>
          <w:rFonts w:ascii="Arial" w:cs="Arial" w:eastAsia="Arial" w:hAnsi="Arial"/>
          <w:sz w:val="22"/>
          <w:szCs w:val="22"/>
          <w:color w:val="auto"/>
        </w:rPr>
        <w:t>3,404</w:t>
      </w:r>
    </w:p>
    <w:p>
      <w:pPr>
        <w:spacing w:after="0" w:line="56" w:lineRule="exact"/>
        <w:rPr>
          <w:sz w:val="20"/>
          <w:szCs w:val="20"/>
          <w:color w:val="auto"/>
        </w:rPr>
      </w:pPr>
    </w:p>
    <w:p>
      <w:pPr>
        <w:spacing w:after="0"/>
        <w:tabs>
          <w:tab w:leader="none" w:pos="520" w:val="left"/>
          <w:tab w:leader="none" w:pos="1300" w:val="left"/>
          <w:tab w:leader="none" w:pos="18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15,152</w:t>
        <w:tab/>
        <w:t>$</w:t>
      </w:r>
      <w:r>
        <w:rPr>
          <w:sz w:val="20"/>
          <w:szCs w:val="20"/>
          <w:color w:val="auto"/>
        </w:rPr>
        <w:tab/>
      </w:r>
      <w:r>
        <w:rPr>
          <w:rFonts w:ascii="Arial" w:cs="Arial" w:eastAsia="Arial" w:hAnsi="Arial"/>
          <w:sz w:val="18"/>
          <w:szCs w:val="18"/>
          <w:color w:val="auto"/>
        </w:rPr>
        <w:t>16,566</w:t>
      </w:r>
    </w:p>
    <w:p>
      <w:pPr>
        <w:spacing w:after="0" w:line="1242" w:lineRule="exact"/>
        <w:rPr>
          <w:sz w:val="20"/>
          <w:szCs w:val="20"/>
          <w:color w:val="auto"/>
        </w:rPr>
      </w:pPr>
    </w:p>
    <w:p>
      <w:pPr>
        <w:sectPr>
          <w:pgSz w:w="11880" w:h="15480" w:orient="portrait"/>
          <w:cols w:equalWidth="0" w:num="2">
            <w:col w:w="6960" w:space="720"/>
            <w:col w:w="2520"/>
          </w:cols>
          <w:pgMar w:left="820" w:top="670" w:right="860" w:bottom="0" w:gutter="0" w:footer="0" w:header="0"/>
          <w:type w:val="continuous"/>
        </w:sectPr>
      </w:pPr>
    </w:p>
    <w:p>
      <w:pPr>
        <w:spacing w:after="0" w:line="50"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color w:val="auto"/>
        </w:rPr>
        <w:t>The 2020 Stock Option and Incentive Plan (the 2020 Plan) was approved by the Company’s board of directors on December 5, 2019, and the Company’s stockholders on January 14, 2020 and became effective on the date immediately prior to the date on which the registration statement for the Company’s initial public offering (IPO) was declared effective.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initially reserved for issuance under the 2020 Plan was 6,665,891, which was cumulatively increased on January 1, 2021 and each January 1 thereafter by 4% of the number of shares of the Company’s common stock outstanding on the immediately preceding December 31 or such lesser number of shares determined by the Company’s board of directors or compensation committee of the board of directors. As of December 31, 2025, 5,974,583 shares remained available for issuance under the 2020 Plan. The number of authorized shares reserved for issuance under the 2020 Plan was increased by 2,285,522 shares effective as of January 1, 2026.</w:t>
      </w:r>
    </w:p>
    <w:p>
      <w:pPr>
        <w:sectPr>
          <w:pgSz w:w="11880" w:h="15480" w:orient="portrait"/>
          <w:cols w:equalWidth="0" w:num="1">
            <w:col w:w="10200"/>
          </w:cols>
          <w:pgMar w:left="820" w:top="670"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150</w:t>
      </w:r>
    </w:p>
    <w:p>
      <w:pPr>
        <w:sectPr>
          <w:pgSz w:w="11880" w:h="15480" w:orient="portrait"/>
          <w:cols w:equalWidth="0" w:num="1">
            <w:col w:w="10200"/>
          </w:cols>
          <w:pgMar w:left="820" w:top="670" w:right="860" w:bottom="0" w:gutter="0" w:footer="0" w:header="0"/>
          <w:type w:val="continuous"/>
        </w:sectPr>
      </w:pPr>
    </w:p>
    <w:bookmarkStart w:id="154" w:name="page155"/>
    <w:bookmarkEnd w:id="154"/>
    <w:p>
      <w:pPr>
        <w:spacing w:after="0"/>
        <w:rPr>
          <w:sz w:val="20"/>
          <w:szCs w:val="20"/>
          <w:color w:val="auto"/>
        </w:rPr>
      </w:pPr>
      <w:r>
        <w:rPr>
          <w:rFonts w:ascii="Arial" w:cs="Arial" w:eastAsia="Arial" w:hAnsi="Arial"/>
          <w:sz w:val="22"/>
          <w:szCs w:val="22"/>
          <w:b w:val="1"/>
          <w:bCs w:val="1"/>
          <w:i w:val="1"/>
          <w:iCs w:val="1"/>
          <w:color w:val="auto"/>
        </w:rPr>
        <w:t>2020 Employee Stock Purchase Plan</w:t>
      </w:r>
    </w:p>
    <w:p>
      <w:pPr>
        <w:spacing w:after="0" w:line="250"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The 2020 Employee Stock Purchase Plan (the 2020 ESPP) was approved by the Company’s board of directors on December 5, 2019, and the Company’s stockholders on January 14, 2020, and became effective on the date immediately prior to the date on which the registration statement for the Company’s IPO was declared effective. A total of 326,364 shares of common stock were initially reserved for issuance under this plan, which was cumulatively increased on January 1, 2021 and each January 1 thereafter by 1% of the number of shares of the Company’s common stock outstanding on the immediately preceding December 31 or such lesser number of shares determined by the Company’s board of directors or compensation committee of the board of directors. As of December 31, 2025, 1,690,512 shares remained available for issuance under the 2020 ESPP. The number of authorized shares reserved for issuance under the 2020 ESPP was increased by 326,364 shares effective as of January 1, 2026.</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 valuation</w:t>
      </w:r>
    </w:p>
    <w:p>
      <w:pPr>
        <w:spacing w:after="0" w:line="250" w:lineRule="exact"/>
        <w:rPr>
          <w:sz w:val="20"/>
          <w:szCs w:val="20"/>
          <w:color w:val="auto"/>
        </w:rPr>
      </w:pPr>
    </w:p>
    <w:p>
      <w:pPr>
        <w:ind w:right="360"/>
        <w:spacing w:after="0" w:line="271" w:lineRule="auto"/>
        <w:rPr>
          <w:sz w:val="20"/>
          <w:szCs w:val="20"/>
          <w:color w:val="auto"/>
        </w:rPr>
      </w:pPr>
      <w:r>
        <w:rPr>
          <w:rFonts w:ascii="Arial" w:cs="Arial" w:eastAsia="Arial" w:hAnsi="Arial"/>
          <w:sz w:val="22"/>
          <w:szCs w:val="22"/>
          <w:color w:val="auto"/>
        </w:rPr>
        <w:t>The assumptions that the Company used to determine the grant-date fair value of options granted were as follows, presented on a weighted-average basis: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7400" w:type="dxa"/>
            <w:vAlign w:val="bottom"/>
          </w:tcPr>
          <w:p>
            <w:pPr>
              <w:spacing w:after="0"/>
              <w:rPr>
                <w:sz w:val="24"/>
                <w:szCs w:val="24"/>
                <w:color w:val="auto"/>
              </w:rPr>
            </w:pPr>
          </w:p>
        </w:tc>
        <w:tc>
          <w:tcPr>
            <w:tcW w:w="2680" w:type="dxa"/>
            <w:vAlign w:val="bottom"/>
            <w:tcBorders>
              <w:bottom w:val="single" w:sz="8" w:color="auto"/>
            </w:tcBorders>
            <w:gridSpan w:val="4"/>
          </w:tcPr>
          <w:p>
            <w:pPr>
              <w:ind w:left="740"/>
              <w:spacing w:after="0"/>
              <w:rPr>
                <w:sz w:val="20"/>
                <w:szCs w:val="20"/>
                <w:color w:val="auto"/>
              </w:rPr>
            </w:pPr>
            <w:r>
              <w:rPr>
                <w:rFonts w:ascii="Arial" w:cs="Arial" w:eastAsia="Arial" w:hAnsi="Arial"/>
                <w:sz w:val="22"/>
                <w:szCs w:val="22"/>
                <w:color w:val="auto"/>
              </w:rPr>
              <w:t>December 31,</w:t>
            </w:r>
          </w:p>
        </w:tc>
      </w:tr>
      <w:tr>
        <w:trPr>
          <w:trHeight w:val="289"/>
        </w:trPr>
        <w:tc>
          <w:tcPr>
            <w:tcW w:w="740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22"/>
                <w:szCs w:val="22"/>
                <w:color w:val="auto"/>
              </w:rPr>
              <w:t>2025</w:t>
            </w:r>
          </w:p>
        </w:tc>
        <w:tc>
          <w:tcPr>
            <w:tcW w:w="1340" w:type="dxa"/>
            <w:vAlign w:val="bottom"/>
            <w:gridSpan w:val="2"/>
          </w:tcPr>
          <w:p>
            <w:pPr>
              <w:jc w:val="right"/>
              <w:ind w:right="312"/>
              <w:spacing w:after="0"/>
              <w:rPr>
                <w:sz w:val="20"/>
                <w:szCs w:val="20"/>
                <w:color w:val="auto"/>
              </w:rPr>
            </w:pPr>
            <w:r>
              <w:rPr>
                <w:rFonts w:ascii="Arial" w:cs="Arial" w:eastAsia="Arial" w:hAnsi="Arial"/>
                <w:sz w:val="22"/>
                <w:szCs w:val="22"/>
                <w:color w:val="auto"/>
              </w:rPr>
              <w:t>2024</w:t>
            </w:r>
          </w:p>
        </w:tc>
        <w:tc>
          <w:tcPr>
            <w:tcW w:w="60" w:type="dxa"/>
            <w:vAlign w:val="bottom"/>
          </w:tcPr>
          <w:p>
            <w:pPr>
              <w:spacing w:after="0"/>
              <w:rPr>
                <w:sz w:val="24"/>
                <w:szCs w:val="24"/>
                <w:color w:val="auto"/>
              </w:rPr>
            </w:pPr>
          </w:p>
        </w:tc>
      </w:tr>
      <w:tr>
        <w:trPr>
          <w:trHeight w:val="280"/>
        </w:trPr>
        <w:tc>
          <w:tcPr>
            <w:tcW w:w="7400" w:type="dxa"/>
            <w:vAlign w:val="bottom"/>
          </w:tcPr>
          <w:p>
            <w:pPr>
              <w:spacing w:after="0"/>
              <w:rPr>
                <w:sz w:val="20"/>
                <w:szCs w:val="20"/>
                <w:color w:val="auto"/>
              </w:rPr>
            </w:pPr>
            <w:r>
              <w:rPr>
                <w:rFonts w:ascii="Arial" w:cs="Arial" w:eastAsia="Arial" w:hAnsi="Arial"/>
                <w:sz w:val="22"/>
                <w:szCs w:val="22"/>
                <w:color w:val="auto"/>
              </w:rPr>
              <w:t>Risk-free interest rate</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4.29 %</w:t>
            </w:r>
          </w:p>
        </w:tc>
        <w:tc>
          <w:tcPr>
            <w:tcW w:w="60" w:type="dxa"/>
            <w:vAlign w:val="bottom"/>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4.23 %</w:t>
            </w:r>
          </w:p>
        </w:tc>
        <w:tc>
          <w:tcPr>
            <w:tcW w:w="60" w:type="dxa"/>
            <w:vAlign w:val="bottom"/>
          </w:tcPr>
          <w:p>
            <w:pPr>
              <w:spacing w:after="0"/>
              <w:rPr>
                <w:sz w:val="24"/>
                <w:szCs w:val="24"/>
                <w:color w:val="auto"/>
              </w:rPr>
            </w:pPr>
          </w:p>
        </w:tc>
      </w:tr>
      <w:tr>
        <w:trPr>
          <w:trHeight w:val="291"/>
        </w:trPr>
        <w:tc>
          <w:tcPr>
            <w:tcW w:w="7400" w:type="dxa"/>
            <w:vAlign w:val="bottom"/>
          </w:tcPr>
          <w:p>
            <w:pPr>
              <w:spacing w:after="0"/>
              <w:rPr>
                <w:sz w:val="20"/>
                <w:szCs w:val="20"/>
                <w:color w:val="auto"/>
              </w:rPr>
            </w:pPr>
            <w:r>
              <w:rPr>
                <w:rFonts w:ascii="Arial" w:cs="Arial" w:eastAsia="Arial" w:hAnsi="Arial"/>
                <w:sz w:val="22"/>
                <w:szCs w:val="22"/>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22"/>
                <w:szCs w:val="22"/>
                <w:color w:val="auto"/>
              </w:rPr>
              <w:t>6.0</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60" w:type="dxa"/>
            <w:vAlign w:val="bottom"/>
          </w:tcPr>
          <w:p>
            <w:pPr>
              <w:spacing w:after="0"/>
              <w:rPr>
                <w:sz w:val="24"/>
                <w:szCs w:val="24"/>
                <w:color w:val="auto"/>
              </w:rPr>
            </w:pPr>
          </w:p>
        </w:tc>
      </w:tr>
      <w:tr>
        <w:trPr>
          <w:trHeight w:val="309"/>
        </w:trPr>
        <w:tc>
          <w:tcPr>
            <w:tcW w:w="7400" w:type="dxa"/>
            <w:vAlign w:val="bottom"/>
          </w:tcPr>
          <w:p>
            <w:pPr>
              <w:spacing w:after="0"/>
              <w:rPr>
                <w:sz w:val="20"/>
                <w:szCs w:val="20"/>
                <w:color w:val="auto"/>
              </w:rPr>
            </w:pPr>
            <w:r>
              <w:rPr>
                <w:rFonts w:ascii="Arial" w:cs="Arial" w:eastAsia="Arial" w:hAnsi="Arial"/>
                <w:sz w:val="22"/>
                <w:szCs w:val="22"/>
                <w:color w:val="auto"/>
              </w:rPr>
              <w:t>Expected volatility</w:t>
            </w:r>
          </w:p>
        </w:tc>
        <w:tc>
          <w:tcPr>
            <w:tcW w:w="1280" w:type="dxa"/>
            <w:vAlign w:val="bottom"/>
          </w:tcPr>
          <w:p>
            <w:pPr>
              <w:jc w:val="right"/>
              <w:spacing w:after="0"/>
              <w:rPr>
                <w:sz w:val="20"/>
                <w:szCs w:val="20"/>
                <w:color w:val="auto"/>
              </w:rPr>
            </w:pPr>
            <w:r>
              <w:rPr>
                <w:rFonts w:ascii="Arial" w:cs="Arial" w:eastAsia="Arial" w:hAnsi="Arial"/>
                <w:sz w:val="22"/>
                <w:szCs w:val="22"/>
                <w:color w:val="auto"/>
              </w:rPr>
              <w:t>97.2 %</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83.2 %</w:t>
            </w:r>
          </w:p>
        </w:tc>
        <w:tc>
          <w:tcPr>
            <w:tcW w:w="60" w:type="dxa"/>
            <w:vAlign w:val="bottom"/>
          </w:tcPr>
          <w:p>
            <w:pPr>
              <w:spacing w:after="0"/>
              <w:rPr>
                <w:sz w:val="24"/>
                <w:szCs w:val="24"/>
                <w:color w:val="auto"/>
              </w:rPr>
            </w:pPr>
          </w:p>
        </w:tc>
      </w:tr>
      <w:tr>
        <w:trPr>
          <w:trHeight w:val="309"/>
        </w:trPr>
        <w:tc>
          <w:tcPr>
            <w:tcW w:w="7400" w:type="dxa"/>
            <w:vAlign w:val="bottom"/>
          </w:tcPr>
          <w:p>
            <w:pPr>
              <w:spacing w:after="0"/>
              <w:rPr>
                <w:sz w:val="20"/>
                <w:szCs w:val="20"/>
                <w:color w:val="auto"/>
              </w:rPr>
            </w:pPr>
            <w:r>
              <w:rPr>
                <w:rFonts w:ascii="Arial" w:cs="Arial" w:eastAsia="Arial" w:hAnsi="Arial"/>
                <w:sz w:val="22"/>
                <w:szCs w:val="22"/>
                <w:color w:val="auto"/>
              </w:rPr>
              <w:t>Expected dividend yield</w:t>
            </w:r>
          </w:p>
        </w:tc>
        <w:tc>
          <w:tcPr>
            <w:tcW w:w="1280" w:type="dxa"/>
            <w:vAlign w:val="bottom"/>
          </w:tcPr>
          <w:p>
            <w:pPr>
              <w:jc w:val="right"/>
              <w:spacing w:after="0"/>
              <w:rPr>
                <w:sz w:val="20"/>
                <w:szCs w:val="20"/>
                <w:color w:val="auto"/>
              </w:rPr>
            </w:pPr>
            <w:r>
              <w:rPr>
                <w:rFonts w:ascii="Arial" w:cs="Arial" w:eastAsia="Arial" w:hAnsi="Arial"/>
                <w:sz w:val="22"/>
                <w:szCs w:val="22"/>
                <w:color w:val="auto"/>
              </w:rPr>
              <w:t>0 %</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0 %</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-772795</wp:posOffset>
            </wp:positionV>
            <wp:extent cx="6456680" cy="21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9">
                      <a:extLst>
                        <a:ext uri="{28A0092B-C50C-407E-A947-70E740481C1C}"/>
                      </a:extLst>
                    </a:blip>
                    <a:srcRect/>
                    <a:stretch>
                      <a:fillRect/>
                    </a:stretch>
                  </pic:blipFill>
                  <pic:spPr bwMode="auto">
                    <a:xfrm>
                      <a:off x="0" y="0"/>
                      <a:ext cx="6456680" cy="2120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-390525</wp:posOffset>
            </wp:positionV>
            <wp:extent cx="6456680" cy="221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0">
                      <a:extLst>
                        <a:ext uri="{28A0092B-C50C-407E-A947-70E740481C1C}"/>
                      </a:extLst>
                    </a:blip>
                    <a:srcRect/>
                    <a:stretch>
                      <a:fillRect/>
                    </a:stretch>
                  </pic:blipFill>
                  <pic:spPr bwMode="auto">
                    <a:xfrm>
                      <a:off x="0" y="0"/>
                      <a:ext cx="6456680" cy="22161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stock option activity under the Company’s equity awards plans: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80"/>
        </w:trPr>
        <w:tc>
          <w:tcPr>
            <w:tcW w:w="4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color w:val="auto"/>
                <w:w w:val="90"/>
              </w:rPr>
              <w:t>Weighted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72"/>
              <w:spacing w:after="0"/>
              <w:rPr>
                <w:sz w:val="20"/>
                <w:szCs w:val="20"/>
                <w:color w:val="auto"/>
              </w:rPr>
            </w:pPr>
            <w:r>
              <w:rPr>
                <w:rFonts w:ascii="Arial" w:cs="Arial" w:eastAsia="Arial" w:hAnsi="Arial"/>
                <w:sz w:val="22"/>
                <w:szCs w:val="22"/>
                <w:color w:val="auto"/>
                <w:w w:val="90"/>
              </w:rPr>
              <w:t>Weighted</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color w:val="auto"/>
                <w:w w:val="90"/>
              </w:rPr>
              <w:t>Average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Arial" w:cs="Arial" w:eastAsia="Arial" w:hAnsi="Arial"/>
                <w:sz w:val="22"/>
                <w:szCs w:val="22"/>
                <w:color w:val="auto"/>
                <w:w w:val="94"/>
              </w:rPr>
              <w:t>Intrinsic</w:t>
            </w:r>
          </w:p>
        </w:tc>
        <w:tc>
          <w:tcPr>
            <w:tcW w:w="0" w:type="dxa"/>
            <w:vAlign w:val="bottom"/>
          </w:tcPr>
          <w:p>
            <w:pPr>
              <w:spacing w:after="0"/>
              <w:rPr>
                <w:sz w:val="1"/>
                <w:szCs w:val="1"/>
                <w:color w:val="auto"/>
              </w:rPr>
            </w:pPr>
          </w:p>
        </w:tc>
      </w:tr>
      <w:tr>
        <w:trPr>
          <w:trHeight w:val="300"/>
        </w:trPr>
        <w:tc>
          <w:tcPr>
            <w:tcW w:w="4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72"/>
              <w:spacing w:after="0"/>
              <w:rPr>
                <w:sz w:val="20"/>
                <w:szCs w:val="20"/>
                <w:color w:val="auto"/>
              </w:rPr>
            </w:pPr>
            <w:r>
              <w:rPr>
                <w:rFonts w:ascii="Arial" w:cs="Arial" w:eastAsia="Arial" w:hAnsi="Arial"/>
                <w:sz w:val="22"/>
                <w:szCs w:val="22"/>
                <w:color w:val="auto"/>
                <w:w w:val="87"/>
              </w:rPr>
              <w:t>Average</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color w:val="auto"/>
                <w:w w:val="89"/>
              </w:rPr>
              <w:t>Remaining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72"/>
              <w:spacing w:after="0"/>
              <w:rPr>
                <w:sz w:val="20"/>
                <w:szCs w:val="20"/>
                <w:color w:val="auto"/>
              </w:rPr>
            </w:pPr>
            <w:r>
              <w:rPr>
                <w:rFonts w:ascii="Arial" w:cs="Arial" w:eastAsia="Arial" w:hAnsi="Arial"/>
                <w:sz w:val="22"/>
                <w:szCs w:val="22"/>
                <w:color w:val="auto"/>
                <w:w w:val="88"/>
              </w:rPr>
              <w:t>Value</w:t>
            </w:r>
          </w:p>
        </w:tc>
        <w:tc>
          <w:tcPr>
            <w:tcW w:w="0" w:type="dxa"/>
            <w:vAlign w:val="bottom"/>
          </w:tcPr>
          <w:p>
            <w:pPr>
              <w:spacing w:after="0"/>
              <w:rPr>
                <w:sz w:val="1"/>
                <w:szCs w:val="1"/>
                <w:color w:val="auto"/>
              </w:rPr>
            </w:pPr>
          </w:p>
        </w:tc>
      </w:tr>
      <w:tr>
        <w:trPr>
          <w:trHeight w:val="300"/>
        </w:trPr>
        <w:tc>
          <w:tcPr>
            <w:tcW w:w="4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92"/>
              <w:spacing w:after="0"/>
              <w:rPr>
                <w:sz w:val="20"/>
                <w:szCs w:val="20"/>
                <w:color w:val="auto"/>
              </w:rPr>
            </w:pPr>
            <w:r>
              <w:rPr>
                <w:rFonts w:ascii="Arial" w:cs="Arial" w:eastAsia="Arial" w:hAnsi="Arial"/>
                <w:sz w:val="22"/>
                <w:szCs w:val="22"/>
                <w:color w:val="auto"/>
                <w:w w:val="87"/>
              </w:rPr>
              <w:t>Exercise</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2"/>
                <w:szCs w:val="22"/>
                <w:color w:val="auto"/>
              </w:rPr>
              <w:t>Life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52"/>
              <w:spacing w:after="0"/>
              <w:rPr>
                <w:sz w:val="20"/>
                <w:szCs w:val="20"/>
                <w:color w:val="auto"/>
              </w:rPr>
            </w:pPr>
            <w:r>
              <w:rPr>
                <w:rFonts w:ascii="Arial" w:cs="Arial" w:eastAsia="Arial" w:hAnsi="Arial"/>
                <w:sz w:val="22"/>
                <w:szCs w:val="22"/>
                <w:color w:val="auto"/>
                <w:w w:val="97"/>
              </w:rPr>
              <w:t>(in</w:t>
            </w:r>
          </w:p>
        </w:tc>
        <w:tc>
          <w:tcPr>
            <w:tcW w:w="0" w:type="dxa"/>
            <w:vAlign w:val="bottom"/>
          </w:tcPr>
          <w:p>
            <w:pPr>
              <w:spacing w:after="0"/>
              <w:rPr>
                <w:sz w:val="1"/>
                <w:szCs w:val="1"/>
                <w:color w:val="auto"/>
              </w:rPr>
            </w:pPr>
          </w:p>
        </w:tc>
      </w:tr>
      <w:tr>
        <w:trPr>
          <w:trHeight w:val="302"/>
        </w:trPr>
        <w:tc>
          <w:tcPr>
            <w:tcW w:w="4840" w:type="dxa"/>
            <w:vAlign w:val="bottom"/>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Options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color w:val="auto"/>
                <w:w w:val="87"/>
              </w:rPr>
              <w:t>Price</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(in Years)</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color w:val="auto"/>
                <w:w w:val="86"/>
              </w:rPr>
              <w:t>thousands)</w:t>
            </w:r>
          </w:p>
        </w:tc>
        <w:tc>
          <w:tcPr>
            <w:tcW w:w="0" w:type="dxa"/>
            <w:vAlign w:val="bottom"/>
          </w:tcPr>
          <w:p>
            <w:pPr>
              <w:spacing w:after="0"/>
              <w:rPr>
                <w:sz w:val="1"/>
                <w:szCs w:val="1"/>
                <w:color w:val="auto"/>
              </w:rPr>
            </w:pPr>
          </w:p>
        </w:tc>
      </w:tr>
      <w:tr>
        <w:trPr>
          <w:trHeight w:val="287"/>
        </w:trPr>
        <w:tc>
          <w:tcPr>
            <w:tcW w:w="4840" w:type="dxa"/>
            <w:vAlign w:val="bottom"/>
          </w:tcPr>
          <w:p>
            <w:pPr>
              <w:spacing w:after="0"/>
              <w:rPr>
                <w:sz w:val="20"/>
                <w:szCs w:val="20"/>
                <w:color w:val="auto"/>
              </w:rPr>
            </w:pPr>
            <w:r>
              <w:rPr>
                <w:rFonts w:ascii="Arial" w:cs="Arial" w:eastAsia="Arial" w:hAnsi="Arial"/>
                <w:sz w:val="22"/>
                <w:szCs w:val="22"/>
                <w:color w:val="auto"/>
              </w:rPr>
              <w:t>Outstanding December 31, 2024</w:t>
            </w:r>
          </w:p>
        </w:tc>
        <w:tc>
          <w:tcPr>
            <w:tcW w:w="1280" w:type="dxa"/>
            <w:vAlign w:val="bottom"/>
          </w:tcPr>
          <w:p>
            <w:pPr>
              <w:jc w:val="right"/>
              <w:spacing w:after="0"/>
              <w:rPr>
                <w:sz w:val="20"/>
                <w:szCs w:val="20"/>
                <w:color w:val="auto"/>
              </w:rPr>
            </w:pPr>
            <w:r>
              <w:rPr>
                <w:rFonts w:ascii="Arial" w:cs="Arial" w:eastAsia="Arial" w:hAnsi="Arial"/>
                <w:sz w:val="22"/>
                <w:szCs w:val="22"/>
                <w:color w:val="auto"/>
              </w:rPr>
              <w:t>9,434,742</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7.48</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6.6</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313</w:t>
            </w:r>
          </w:p>
        </w:tc>
        <w:tc>
          <w:tcPr>
            <w:tcW w:w="0" w:type="dxa"/>
            <w:vAlign w:val="bottom"/>
          </w:tcPr>
          <w:p>
            <w:pPr>
              <w:spacing w:after="0"/>
              <w:rPr>
                <w:sz w:val="1"/>
                <w:szCs w:val="1"/>
                <w:color w:val="auto"/>
              </w:rPr>
            </w:pPr>
          </w:p>
        </w:tc>
      </w:tr>
      <w:tr>
        <w:trPr>
          <w:trHeight w:val="309"/>
        </w:trPr>
        <w:tc>
          <w:tcPr>
            <w:tcW w:w="4840" w:type="dxa"/>
            <w:vAlign w:val="bottom"/>
          </w:tcPr>
          <w:p>
            <w:pPr>
              <w:ind w:left="240"/>
              <w:spacing w:after="0"/>
              <w:rPr>
                <w:sz w:val="20"/>
                <w:szCs w:val="20"/>
                <w:color w:val="auto"/>
              </w:rPr>
            </w:pPr>
            <w:r>
              <w:rPr>
                <w:rFonts w:ascii="Arial" w:cs="Arial" w:eastAsia="Arial" w:hAnsi="Arial"/>
                <w:sz w:val="22"/>
                <w:szCs w:val="22"/>
                <w:color w:val="auto"/>
              </w:rPr>
              <w:t>Granted</w:t>
            </w:r>
          </w:p>
        </w:tc>
        <w:tc>
          <w:tcPr>
            <w:tcW w:w="1280" w:type="dxa"/>
            <w:vAlign w:val="bottom"/>
          </w:tcPr>
          <w:p>
            <w:pPr>
              <w:jc w:val="right"/>
              <w:spacing w:after="0"/>
              <w:rPr>
                <w:sz w:val="20"/>
                <w:szCs w:val="20"/>
                <w:color w:val="auto"/>
              </w:rPr>
            </w:pPr>
            <w:r>
              <w:rPr>
                <w:rFonts w:ascii="Arial" w:cs="Arial" w:eastAsia="Arial" w:hAnsi="Arial"/>
                <w:sz w:val="22"/>
                <w:szCs w:val="22"/>
                <w:color w:val="auto"/>
              </w:rPr>
              <w:t>1,976,600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2.51</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40" w:type="dxa"/>
            <w:vAlign w:val="bottom"/>
          </w:tcPr>
          <w:p>
            <w:pPr>
              <w:ind w:left="240"/>
              <w:spacing w:after="0"/>
              <w:rPr>
                <w:sz w:val="20"/>
                <w:szCs w:val="20"/>
                <w:color w:val="auto"/>
              </w:rPr>
            </w:pPr>
            <w:r>
              <w:rPr>
                <w:rFonts w:ascii="Arial" w:cs="Arial" w:eastAsia="Arial" w:hAnsi="Arial"/>
                <w:sz w:val="22"/>
                <w:szCs w:val="22"/>
                <w:color w:val="auto"/>
              </w:rPr>
              <w:t>Exercised</w:t>
            </w:r>
          </w:p>
        </w:tc>
        <w:tc>
          <w:tcPr>
            <w:tcW w:w="1280" w:type="dxa"/>
            <w:vAlign w:val="bottom"/>
          </w:tcPr>
          <w:p>
            <w:pPr>
              <w:jc w:val="right"/>
              <w:spacing w:after="0"/>
              <w:rPr>
                <w:sz w:val="20"/>
                <w:szCs w:val="20"/>
                <w:color w:val="auto"/>
              </w:rPr>
            </w:pPr>
            <w:r>
              <w:rPr>
                <w:rFonts w:ascii="Arial" w:cs="Arial" w:eastAsia="Arial" w:hAnsi="Arial"/>
                <w:sz w:val="22"/>
                <w:szCs w:val="22"/>
                <w:color w:val="auto"/>
              </w:rPr>
              <w:t>(85,274)</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2.45</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40" w:type="dxa"/>
            <w:vAlign w:val="bottom"/>
          </w:tcPr>
          <w:p>
            <w:pPr>
              <w:ind w:left="240"/>
              <w:spacing w:after="0"/>
              <w:rPr>
                <w:sz w:val="20"/>
                <w:szCs w:val="20"/>
                <w:color w:val="auto"/>
              </w:rPr>
            </w:pPr>
            <w:r>
              <w:rPr>
                <w:rFonts w:ascii="Arial" w:cs="Arial" w:eastAsia="Arial" w:hAnsi="Arial"/>
                <w:sz w:val="22"/>
                <w:szCs w:val="22"/>
                <w:color w:val="auto"/>
              </w:rPr>
              <w:t>Cancelled or forfeited</w:t>
            </w:r>
          </w:p>
        </w:tc>
        <w:tc>
          <w:tcPr>
            <w:tcW w:w="1280" w:type="dxa"/>
            <w:vAlign w:val="bottom"/>
          </w:tcPr>
          <w:p>
            <w:pPr>
              <w:jc w:val="right"/>
              <w:spacing w:after="0"/>
              <w:rPr>
                <w:sz w:val="20"/>
                <w:szCs w:val="20"/>
                <w:color w:val="auto"/>
              </w:rPr>
            </w:pPr>
            <w:r>
              <w:rPr>
                <w:rFonts w:ascii="Arial" w:cs="Arial" w:eastAsia="Arial" w:hAnsi="Arial"/>
                <w:sz w:val="22"/>
                <w:szCs w:val="22"/>
                <w:color w:val="auto"/>
              </w:rPr>
              <w:t>(862,122)</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9.73</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40" w:type="dxa"/>
            <w:vAlign w:val="bottom"/>
          </w:tcPr>
          <w:p>
            <w:pPr>
              <w:ind w:left="240"/>
              <w:spacing w:after="0"/>
              <w:rPr>
                <w:sz w:val="20"/>
                <w:szCs w:val="20"/>
                <w:color w:val="auto"/>
              </w:rPr>
            </w:pPr>
            <w:r>
              <w:rPr>
                <w:rFonts w:ascii="Arial" w:cs="Arial" w:eastAsia="Arial" w:hAnsi="Arial"/>
                <w:sz w:val="22"/>
                <w:szCs w:val="22"/>
                <w:color w:val="auto"/>
              </w:rPr>
              <w:t>Expired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(814,141)</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13.19</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840" w:type="dxa"/>
            <w:vAlign w:val="bottom"/>
          </w:tcPr>
          <w:p>
            <w:pPr>
              <w:spacing w:after="0"/>
              <w:rPr>
                <w:sz w:val="20"/>
                <w:szCs w:val="20"/>
                <w:color w:val="auto"/>
              </w:rPr>
            </w:pPr>
            <w:r>
              <w:rPr>
                <w:rFonts w:ascii="Arial" w:cs="Arial" w:eastAsia="Arial" w:hAnsi="Arial"/>
                <w:sz w:val="22"/>
                <w:szCs w:val="22"/>
                <w:color w:val="auto"/>
              </w:rPr>
              <w:t>Outstanding December 31, 2025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9,649,805</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5.83</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498</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40"/>
              <w:spacing w:after="0" w:line="232" w:lineRule="exact"/>
              <w:rPr>
                <w:sz w:val="20"/>
                <w:szCs w:val="20"/>
                <w:color w:val="auto"/>
              </w:rPr>
            </w:pPr>
            <w:r>
              <w:rPr>
                <w:rFonts w:ascii="Arial" w:cs="Arial" w:eastAsia="Arial" w:hAnsi="Arial"/>
                <w:sz w:val="22"/>
                <w:szCs w:val="22"/>
                <w:color w:val="auto"/>
                <w:w w:val="90"/>
              </w:rPr>
              <w:t>Options vested or expected to vest at December 31,</w:t>
            </w: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40" w:type="dxa"/>
            <w:vAlign w:val="bottom"/>
            <w:vMerge w:val="continue"/>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9,649,805</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5.83</w:t>
            </w:r>
          </w:p>
        </w:tc>
        <w:tc>
          <w:tcPr>
            <w:tcW w:w="1340" w:type="dxa"/>
            <w:vAlign w:val="bottom"/>
            <w:gridSpan w:val="2"/>
            <w:vMerge w:val="restart"/>
          </w:tcPr>
          <w:p>
            <w:pPr>
              <w:jc w:val="right"/>
              <w:spacing w:after="0"/>
              <w:rPr>
                <w:sz w:val="20"/>
                <w:szCs w:val="20"/>
                <w:color w:val="auto"/>
              </w:rPr>
            </w:pPr>
            <w:r>
              <w:rPr>
                <w:rFonts w:ascii="Arial" w:cs="Arial" w:eastAsia="Arial" w:hAnsi="Arial"/>
                <w:sz w:val="22"/>
                <w:szCs w:val="22"/>
                <w:color w:val="auto"/>
              </w:rPr>
              <w:t>7.1</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498</w:t>
            </w:r>
          </w:p>
        </w:tc>
        <w:tc>
          <w:tcPr>
            <w:tcW w:w="0" w:type="dxa"/>
            <w:vAlign w:val="bottom"/>
          </w:tcPr>
          <w:p>
            <w:pPr>
              <w:spacing w:after="0"/>
              <w:rPr>
                <w:sz w:val="1"/>
                <w:szCs w:val="1"/>
                <w:color w:val="auto"/>
              </w:rPr>
            </w:pPr>
          </w:p>
        </w:tc>
      </w:tr>
      <w:tr>
        <w:trPr>
          <w:trHeight w:val="267"/>
        </w:trPr>
        <w:tc>
          <w:tcPr>
            <w:tcW w:w="4840" w:type="dxa"/>
            <w:vAlign w:val="bottom"/>
          </w:tcPr>
          <w:p>
            <w:pPr>
              <w:ind w:left="240"/>
              <w:spacing w:after="0"/>
              <w:rPr>
                <w:sz w:val="20"/>
                <w:szCs w:val="20"/>
                <w:color w:val="auto"/>
              </w:rPr>
            </w:pPr>
            <w:r>
              <w:rPr>
                <w:rFonts w:ascii="Arial" w:cs="Arial" w:eastAsia="Arial" w:hAnsi="Arial"/>
                <w:sz w:val="22"/>
                <w:szCs w:val="22"/>
                <w:color w:val="auto"/>
              </w:rPr>
              <w:t>2025</w:t>
            </w:r>
          </w:p>
        </w:tc>
        <w:tc>
          <w:tcPr>
            <w:tcW w:w="1280" w:type="dxa"/>
            <w:vAlign w:val="bottom"/>
            <w:tcBorders>
              <w:bottom w:val="single" w:sz="8" w:color="auto"/>
            </w:tcBorders>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240"/>
              <w:spacing w:after="0"/>
              <w:rPr>
                <w:sz w:val="20"/>
                <w:szCs w:val="20"/>
                <w:color w:val="auto"/>
              </w:rPr>
            </w:pPr>
            <w:r>
              <w:rPr>
                <w:rFonts w:ascii="Arial" w:cs="Arial" w:eastAsia="Arial" w:hAnsi="Arial"/>
                <w:sz w:val="22"/>
                <w:szCs w:val="22"/>
                <w:color w:val="auto"/>
              </w:rPr>
              <w:t>Options exercisable at December 31, 2025</w:t>
            </w: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7.56</w:t>
            </w:r>
          </w:p>
        </w:tc>
        <w:tc>
          <w:tcPr>
            <w:tcW w:w="1340" w:type="dxa"/>
            <w:vAlign w:val="bottom"/>
            <w:gridSpan w:val="2"/>
            <w:vMerge w:val="restart"/>
          </w:tcPr>
          <w:p>
            <w:pPr>
              <w:jc w:val="right"/>
              <w:spacing w:after="0"/>
              <w:rPr>
                <w:sz w:val="20"/>
                <w:szCs w:val="20"/>
                <w:color w:val="auto"/>
              </w:rPr>
            </w:pPr>
            <w:r>
              <w:rPr>
                <w:rFonts w:ascii="Arial" w:cs="Arial" w:eastAsia="Arial" w:hAnsi="Arial"/>
                <w:sz w:val="22"/>
                <w:szCs w:val="22"/>
                <w:color w:val="auto"/>
              </w:rPr>
              <w:t>6.2</w:t>
            </w:r>
          </w:p>
        </w:tc>
        <w:tc>
          <w:tcPr>
            <w:tcW w:w="22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2"/>
                <w:szCs w:val="22"/>
                <w:color w:val="auto"/>
              </w:rPr>
              <w:t>379</w:t>
            </w:r>
          </w:p>
        </w:tc>
        <w:tc>
          <w:tcPr>
            <w:tcW w:w="0" w:type="dxa"/>
            <w:vAlign w:val="bottom"/>
          </w:tcPr>
          <w:p>
            <w:pPr>
              <w:spacing w:after="0" w:line="20" w:lineRule="exact"/>
              <w:rPr>
                <w:sz w:val="1"/>
                <w:szCs w:val="1"/>
                <w:color w:val="auto"/>
              </w:rPr>
            </w:pPr>
          </w:p>
        </w:tc>
      </w:tr>
      <w:tr>
        <w:trPr>
          <w:trHeight w:val="249"/>
        </w:trPr>
        <w:tc>
          <w:tcPr>
            <w:tcW w:w="4840" w:type="dxa"/>
            <w:vAlign w:val="bottom"/>
            <w:vMerge w:val="continue"/>
          </w:tcPr>
          <w:p>
            <w:pPr>
              <w:spacing w:after="0"/>
              <w:rPr>
                <w:sz w:val="21"/>
                <w:szCs w:val="21"/>
                <w:color w:val="auto"/>
              </w:rPr>
            </w:pPr>
          </w:p>
        </w:tc>
        <w:tc>
          <w:tcPr>
            <w:tcW w:w="1280" w:type="dxa"/>
            <w:vAlign w:val="bottom"/>
            <w:tcBorders>
              <w:bottom w:val="single" w:sz="8" w:color="auto"/>
            </w:tcBorders>
          </w:tcPr>
          <w:p>
            <w:pPr>
              <w:jc w:val="right"/>
              <w:spacing w:after="0" w:line="248" w:lineRule="exact"/>
              <w:rPr>
                <w:sz w:val="20"/>
                <w:szCs w:val="20"/>
                <w:color w:val="auto"/>
              </w:rPr>
            </w:pPr>
            <w:r>
              <w:rPr>
                <w:rFonts w:ascii="Arial" w:cs="Arial" w:eastAsia="Arial" w:hAnsi="Arial"/>
                <w:sz w:val="22"/>
                <w:szCs w:val="22"/>
                <w:color w:val="auto"/>
              </w:rPr>
              <w:t>5,750,898</w:t>
            </w:r>
          </w:p>
        </w:tc>
        <w:tc>
          <w:tcPr>
            <w:tcW w:w="24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-1729740</wp:posOffset>
            </wp:positionV>
            <wp:extent cx="6494145" cy="1736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extLst>
                        <a:ext uri="{28A0092B-C50C-407E-A947-70E740481C1C}"/>
                      </a:extLst>
                    </a:blip>
                    <a:srcRect/>
                    <a:stretch>
                      <a:fillRect/>
                    </a:stretch>
                  </pic:blipFill>
                  <pic:spPr bwMode="auto">
                    <a:xfrm>
                      <a:off x="0" y="0"/>
                      <a:ext cx="6494145" cy="1736725"/>
                    </a:xfrm>
                    <a:prstGeom prst="rect">
                      <a:avLst/>
                    </a:prstGeom>
                    <a:noFill/>
                  </pic:spPr>
                </pic:pic>
              </a:graphicData>
            </a:graphic>
          </wp:anchor>
        </w:drawing>
      </w:r>
    </w:p>
    <w:p>
      <w:pPr>
        <w:spacing w:after="0" w:line="217" w:lineRule="exact"/>
        <w:rPr>
          <w:sz w:val="20"/>
          <w:szCs w:val="20"/>
          <w:color w:val="auto"/>
        </w:rPr>
      </w:pPr>
    </w:p>
    <w:p>
      <w:pPr>
        <w:jc w:val="both"/>
        <w:ind w:right="180"/>
        <w:spacing w:after="0" w:line="258" w:lineRule="auto"/>
        <w:rPr>
          <w:sz w:val="20"/>
          <w:szCs w:val="20"/>
          <w:color w:val="auto"/>
        </w:rPr>
      </w:pPr>
      <w:r>
        <w:rPr>
          <w:rFonts w:ascii="Arial" w:cs="Arial" w:eastAsia="Arial" w:hAnsi="Arial"/>
          <w:sz w:val="22"/>
          <w:szCs w:val="22"/>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96" w:lineRule="exact"/>
        <w:rPr>
          <w:sz w:val="20"/>
          <w:szCs w:val="20"/>
          <w:color w:val="auto"/>
        </w:rPr>
      </w:pPr>
    </w:p>
    <w:p>
      <w:pPr>
        <w:ind w:right="260"/>
        <w:spacing w:after="0" w:line="271" w:lineRule="auto"/>
        <w:rPr>
          <w:sz w:val="20"/>
          <w:szCs w:val="20"/>
          <w:color w:val="auto"/>
        </w:rPr>
      </w:pPr>
      <w:r>
        <w:rPr>
          <w:rFonts w:ascii="Arial" w:cs="Arial" w:eastAsia="Arial" w:hAnsi="Arial"/>
          <w:sz w:val="22"/>
          <w:szCs w:val="22"/>
          <w:color w:val="auto"/>
        </w:rPr>
        <w:t>The weighted-average grant-date fair value per share of options granted during the years ended December 31, 2025 and 2024 was $2.00 and $3.45, respectively.</w:t>
      </w:r>
    </w:p>
    <w:p>
      <w:pPr>
        <w:spacing w:after="0" w:line="181" w:lineRule="exact"/>
        <w:rPr>
          <w:sz w:val="20"/>
          <w:szCs w:val="20"/>
          <w:color w:val="auto"/>
        </w:rPr>
      </w:pPr>
    </w:p>
    <w:p>
      <w:pPr>
        <w:ind w:right="320"/>
        <w:spacing w:after="0" w:line="271" w:lineRule="auto"/>
        <w:rPr>
          <w:sz w:val="20"/>
          <w:szCs w:val="20"/>
          <w:color w:val="auto"/>
        </w:rPr>
      </w:pPr>
      <w:r>
        <w:rPr>
          <w:rFonts w:ascii="Arial" w:cs="Arial" w:eastAsia="Arial" w:hAnsi="Arial"/>
          <w:sz w:val="22"/>
          <w:szCs w:val="22"/>
          <w:color w:val="auto"/>
        </w:rPr>
        <w:t>The total fair value of options vested during the years ended December 31, 2025 and 2024 was $6,130 and $6,409, respectively.</w:t>
      </w:r>
    </w:p>
    <w:p>
      <w:pPr>
        <w:sectPr>
          <w:pgSz w:w="11880" w:h="15480" w:orient="portrait"/>
          <w:cols w:equalWidth="0" w:num="1">
            <w:col w:w="10200"/>
          </w:cols>
          <w:pgMar w:left="820" w:top="668" w:right="860" w:bottom="0" w:gutter="0" w:footer="0" w:header="0"/>
        </w:sect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151</w:t>
      </w:r>
    </w:p>
    <w:p>
      <w:pPr>
        <w:sectPr>
          <w:pgSz w:w="11880" w:h="15480" w:orient="portrait"/>
          <w:cols w:equalWidth="0" w:num="1">
            <w:col w:w="10200"/>
          </w:cols>
          <w:pgMar w:left="820" w:top="668" w:right="860" w:bottom="0" w:gutter="0" w:footer="0" w:header="0"/>
          <w:type w:val="continuous"/>
        </w:sectPr>
      </w:pPr>
    </w:p>
    <w:bookmarkStart w:id="155" w:name="page156"/>
    <w:bookmarkEnd w:id="155"/>
    <w:p>
      <w:pPr>
        <w:spacing w:after="0"/>
        <w:rPr>
          <w:sz w:val="20"/>
          <w:szCs w:val="20"/>
          <w:color w:val="auto"/>
        </w:rPr>
      </w:pPr>
      <w:r>
        <w:rPr>
          <w:rFonts w:ascii="Arial" w:cs="Arial" w:eastAsia="Arial" w:hAnsi="Arial"/>
          <w:sz w:val="22"/>
          <w:szCs w:val="22"/>
          <w:b w:val="1"/>
          <w:bCs w:val="1"/>
          <w:i w:val="1"/>
          <w:iCs w:val="1"/>
          <w:color w:val="auto"/>
        </w:rPr>
        <w:t>Restricted stock</w:t>
      </w:r>
    </w:p>
    <w:p>
      <w:pPr>
        <w:spacing w:after="0" w:line="250" w:lineRule="exact"/>
        <w:rPr>
          <w:sz w:val="20"/>
          <w:szCs w:val="20"/>
          <w:color w:val="auto"/>
        </w:rPr>
      </w:pPr>
    </w:p>
    <w:p>
      <w:pPr>
        <w:ind w:right="300"/>
        <w:spacing w:after="0" w:line="280" w:lineRule="auto"/>
        <w:rPr>
          <w:sz w:val="20"/>
          <w:szCs w:val="20"/>
          <w:color w:val="auto"/>
        </w:rPr>
      </w:pPr>
      <w:r>
        <w:rPr>
          <w:rFonts w:ascii="Arial" w:cs="Arial" w:eastAsia="Arial" w:hAnsi="Arial"/>
          <w:sz w:val="20"/>
          <w:szCs w:val="20"/>
          <w:color w:val="auto"/>
        </w:rPr>
        <w:t>Under terms of the restricted stock agreements covering the common stock, shares of restricted common stock are subject to a vesting schedule. The majority of restricted stock vests over a two-year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two years of the vesting commencement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620" w:type="dxa"/>
            <w:vAlign w:val="bottom"/>
          </w:tcPr>
          <w:p>
            <w:pPr>
              <w:spacing w:after="0"/>
              <w:rPr>
                <w:sz w:val="20"/>
                <w:szCs w:val="20"/>
                <w:color w:val="auto"/>
              </w:rPr>
            </w:pPr>
            <w:r>
              <w:rPr>
                <w:rFonts w:ascii="Arial" w:cs="Arial" w:eastAsia="Arial" w:hAnsi="Arial"/>
                <w:sz w:val="22"/>
                <w:szCs w:val="22"/>
                <w:color w:val="auto"/>
              </w:rPr>
              <w:t>The following table summarizes restricted stock activity:</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72"/>
              <w:spacing w:after="0"/>
              <w:rPr>
                <w:sz w:val="20"/>
                <w:szCs w:val="20"/>
                <w:color w:val="auto"/>
              </w:rPr>
            </w:pPr>
            <w:r>
              <w:rPr>
                <w:rFonts w:ascii="Arial" w:cs="Arial" w:eastAsia="Arial" w:hAnsi="Arial"/>
                <w:sz w:val="22"/>
                <w:szCs w:val="22"/>
                <w:color w:val="auto"/>
                <w:w w:val="90"/>
              </w:rPr>
              <w:t>Weighted</w:t>
            </w:r>
          </w:p>
        </w:tc>
        <w:tc>
          <w:tcPr>
            <w:tcW w:w="0" w:type="dxa"/>
            <w:vAlign w:val="bottom"/>
          </w:tcPr>
          <w:p>
            <w:pPr>
              <w:spacing w:after="0"/>
              <w:rPr>
                <w:sz w:val="1"/>
                <w:szCs w:val="1"/>
                <w:color w:val="auto"/>
              </w:rPr>
            </w:pPr>
          </w:p>
        </w:tc>
      </w:tr>
      <w:tr>
        <w:trPr>
          <w:trHeight w:val="259"/>
        </w:trPr>
        <w:tc>
          <w:tcPr>
            <w:tcW w:w="7620" w:type="dxa"/>
            <w:vAlign w:val="bottom"/>
          </w:tcPr>
          <w:p>
            <w:pPr>
              <w:spacing w:after="0"/>
              <w:rPr>
                <w:sz w:val="22"/>
                <w:szCs w:val="22"/>
                <w:color w:val="auto"/>
              </w:rPr>
            </w:pPr>
          </w:p>
        </w:tc>
        <w:tc>
          <w:tcPr>
            <w:tcW w:w="1280" w:type="dxa"/>
            <w:vAlign w:val="bottom"/>
            <w:vMerge w:val="restart"/>
          </w:tcPr>
          <w:p>
            <w:pPr>
              <w:jc w:val="right"/>
              <w:ind w:right="72"/>
              <w:spacing w:after="0"/>
              <w:rPr>
                <w:sz w:val="20"/>
                <w:szCs w:val="20"/>
                <w:color w:val="auto"/>
              </w:rPr>
            </w:pPr>
            <w:r>
              <w:rPr>
                <w:rFonts w:ascii="Arial" w:cs="Arial" w:eastAsia="Arial" w:hAnsi="Arial"/>
                <w:sz w:val="22"/>
                <w:szCs w:val="22"/>
                <w:color w:val="auto"/>
              </w:rPr>
              <w:t>Number of</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center"/>
              <w:ind w:right="72"/>
              <w:spacing w:after="0"/>
              <w:rPr>
                <w:sz w:val="20"/>
                <w:szCs w:val="20"/>
                <w:color w:val="auto"/>
              </w:rPr>
            </w:pPr>
            <w:r>
              <w:rPr>
                <w:rFonts w:ascii="Arial" w:cs="Arial" w:eastAsia="Arial" w:hAnsi="Arial"/>
                <w:sz w:val="22"/>
                <w:szCs w:val="22"/>
                <w:color w:val="auto"/>
                <w:w w:val="85"/>
              </w:rPr>
              <w:t>average</w:t>
            </w:r>
          </w:p>
        </w:tc>
        <w:tc>
          <w:tcPr>
            <w:tcW w:w="0" w:type="dxa"/>
            <w:vAlign w:val="bottom"/>
          </w:tcPr>
          <w:p>
            <w:pPr>
              <w:spacing w:after="0"/>
              <w:rPr>
                <w:sz w:val="1"/>
                <w:szCs w:val="1"/>
                <w:color w:val="auto"/>
              </w:rPr>
            </w:pPr>
          </w:p>
        </w:tc>
      </w:tr>
      <w:tr>
        <w:trPr>
          <w:trHeight w:val="257"/>
        </w:trPr>
        <w:tc>
          <w:tcPr>
            <w:tcW w:w="762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center"/>
              <w:ind w:right="92"/>
              <w:spacing w:after="0"/>
              <w:rPr>
                <w:sz w:val="20"/>
                <w:szCs w:val="20"/>
                <w:color w:val="auto"/>
              </w:rPr>
            </w:pPr>
            <w:r>
              <w:rPr>
                <w:rFonts w:ascii="Arial" w:cs="Arial" w:eastAsia="Arial" w:hAnsi="Arial"/>
                <w:sz w:val="22"/>
                <w:szCs w:val="22"/>
                <w:color w:val="auto"/>
                <w:w w:val="86"/>
              </w:rPr>
              <w:t>grant date</w:t>
            </w:r>
          </w:p>
        </w:tc>
        <w:tc>
          <w:tcPr>
            <w:tcW w:w="0" w:type="dxa"/>
            <w:vAlign w:val="bottom"/>
          </w:tcPr>
          <w:p>
            <w:pPr>
              <w:spacing w:after="0"/>
              <w:rPr>
                <w:sz w:val="1"/>
                <w:szCs w:val="1"/>
                <w:color w:val="auto"/>
              </w:rPr>
            </w:pPr>
          </w:p>
        </w:tc>
      </w:tr>
      <w:tr>
        <w:trPr>
          <w:trHeight w:val="282"/>
        </w:trPr>
        <w:tc>
          <w:tcPr>
            <w:tcW w:w="7620" w:type="dxa"/>
            <w:vAlign w:val="bottom"/>
          </w:tcPr>
          <w:p>
            <w:pPr>
              <w:spacing w:after="0"/>
              <w:rPr>
                <w:sz w:val="24"/>
                <w:szCs w:val="24"/>
                <w:color w:val="auto"/>
              </w:rPr>
            </w:pPr>
          </w:p>
        </w:tc>
        <w:tc>
          <w:tcPr>
            <w:tcW w:w="12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shares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color w:val="auto"/>
                <w:w w:val="91"/>
              </w:rPr>
              <w:t>fair value</w:t>
            </w:r>
          </w:p>
        </w:tc>
        <w:tc>
          <w:tcPr>
            <w:tcW w:w="0" w:type="dxa"/>
            <w:vAlign w:val="bottom"/>
          </w:tcPr>
          <w:p>
            <w:pPr>
              <w:spacing w:after="0"/>
              <w:rPr>
                <w:sz w:val="1"/>
                <w:szCs w:val="1"/>
                <w:color w:val="auto"/>
              </w:rPr>
            </w:pPr>
          </w:p>
        </w:tc>
      </w:tr>
      <w:tr>
        <w:trPr>
          <w:trHeight w:val="287"/>
        </w:trPr>
        <w:tc>
          <w:tcPr>
            <w:tcW w:w="7620" w:type="dxa"/>
            <w:vAlign w:val="bottom"/>
          </w:tcPr>
          <w:p>
            <w:pPr>
              <w:ind w:left="60"/>
              <w:spacing w:after="0"/>
              <w:rPr>
                <w:sz w:val="20"/>
                <w:szCs w:val="20"/>
                <w:color w:val="auto"/>
              </w:rPr>
            </w:pPr>
            <w:r>
              <w:rPr>
                <w:rFonts w:ascii="Arial" w:cs="Arial" w:eastAsia="Arial" w:hAnsi="Arial"/>
                <w:sz w:val="22"/>
                <w:szCs w:val="22"/>
                <w:b w:val="1"/>
                <w:bCs w:val="1"/>
                <w:color w:val="auto"/>
              </w:rPr>
              <w:t>Unvested restricted common stock as of December 31, 2024</w:t>
            </w:r>
          </w:p>
        </w:tc>
        <w:tc>
          <w:tcPr>
            <w:tcW w:w="1280" w:type="dxa"/>
            <w:vAlign w:val="bottom"/>
          </w:tcPr>
          <w:p>
            <w:pPr>
              <w:jc w:val="right"/>
              <w:spacing w:after="0"/>
              <w:rPr>
                <w:sz w:val="20"/>
                <w:szCs w:val="20"/>
                <w:color w:val="auto"/>
              </w:rPr>
            </w:pPr>
            <w:r>
              <w:rPr>
                <w:rFonts w:ascii="Arial" w:cs="Arial" w:eastAsia="Arial" w:hAnsi="Arial"/>
                <w:sz w:val="22"/>
                <w:szCs w:val="22"/>
                <w:color w:val="auto"/>
              </w:rPr>
              <w:t>540,000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3.66</w:t>
            </w:r>
          </w:p>
        </w:tc>
        <w:tc>
          <w:tcPr>
            <w:tcW w:w="0" w:type="dxa"/>
            <w:vAlign w:val="bottom"/>
          </w:tcPr>
          <w:p>
            <w:pPr>
              <w:spacing w:after="0"/>
              <w:rPr>
                <w:sz w:val="1"/>
                <w:szCs w:val="1"/>
                <w:color w:val="auto"/>
              </w:rPr>
            </w:pPr>
          </w:p>
        </w:tc>
      </w:tr>
      <w:tr>
        <w:trPr>
          <w:trHeight w:val="309"/>
        </w:trPr>
        <w:tc>
          <w:tcPr>
            <w:tcW w:w="7620" w:type="dxa"/>
            <w:vAlign w:val="bottom"/>
          </w:tcPr>
          <w:p>
            <w:pPr>
              <w:ind w:left="60"/>
              <w:spacing w:after="0"/>
              <w:rPr>
                <w:sz w:val="20"/>
                <w:szCs w:val="20"/>
                <w:color w:val="auto"/>
              </w:rPr>
            </w:pPr>
            <w:r>
              <w:rPr>
                <w:rFonts w:ascii="Arial" w:cs="Arial" w:eastAsia="Arial" w:hAnsi="Arial"/>
                <w:sz w:val="22"/>
                <w:szCs w:val="22"/>
                <w:color w:val="auto"/>
              </w:rPr>
              <w:t>Granted</w:t>
            </w:r>
          </w:p>
        </w:tc>
        <w:tc>
          <w:tcPr>
            <w:tcW w:w="1280" w:type="dxa"/>
            <w:vAlign w:val="bottom"/>
          </w:tcPr>
          <w:p>
            <w:pPr>
              <w:jc w:val="right"/>
              <w:spacing w:after="0"/>
              <w:rPr>
                <w:sz w:val="20"/>
                <w:szCs w:val="20"/>
                <w:color w:val="auto"/>
              </w:rPr>
            </w:pPr>
            <w:r>
              <w:rPr>
                <w:rFonts w:ascii="Arial" w:cs="Arial" w:eastAsia="Arial" w:hAnsi="Arial"/>
                <w:sz w:val="22"/>
                <w:szCs w:val="22"/>
                <w:color w:val="auto"/>
              </w:rPr>
              <w:t>450,000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2.52</w:t>
            </w:r>
          </w:p>
        </w:tc>
        <w:tc>
          <w:tcPr>
            <w:tcW w:w="0" w:type="dxa"/>
            <w:vAlign w:val="bottom"/>
          </w:tcPr>
          <w:p>
            <w:pPr>
              <w:spacing w:after="0"/>
              <w:rPr>
                <w:sz w:val="1"/>
                <w:szCs w:val="1"/>
                <w:color w:val="auto"/>
              </w:rPr>
            </w:pPr>
          </w:p>
        </w:tc>
      </w:tr>
      <w:tr>
        <w:trPr>
          <w:trHeight w:val="309"/>
        </w:trPr>
        <w:tc>
          <w:tcPr>
            <w:tcW w:w="7620" w:type="dxa"/>
            <w:vAlign w:val="bottom"/>
          </w:tcPr>
          <w:p>
            <w:pPr>
              <w:ind w:left="60"/>
              <w:spacing w:after="0"/>
              <w:rPr>
                <w:sz w:val="20"/>
                <w:szCs w:val="20"/>
                <w:color w:val="auto"/>
              </w:rPr>
            </w:pPr>
            <w:r>
              <w:rPr>
                <w:rFonts w:ascii="Arial" w:cs="Arial" w:eastAsia="Arial" w:hAnsi="Arial"/>
                <w:sz w:val="22"/>
                <w:szCs w:val="22"/>
                <w:color w:val="auto"/>
              </w:rPr>
              <w:t>Vested</w:t>
            </w:r>
          </w:p>
        </w:tc>
        <w:tc>
          <w:tcPr>
            <w:tcW w:w="1280" w:type="dxa"/>
            <w:vAlign w:val="bottom"/>
          </w:tcPr>
          <w:p>
            <w:pPr>
              <w:jc w:val="right"/>
              <w:spacing w:after="0"/>
              <w:rPr>
                <w:sz w:val="20"/>
                <w:szCs w:val="20"/>
                <w:color w:val="auto"/>
              </w:rPr>
            </w:pPr>
            <w:r>
              <w:rPr>
                <w:rFonts w:ascii="Arial" w:cs="Arial" w:eastAsia="Arial" w:hAnsi="Arial"/>
                <w:sz w:val="22"/>
                <w:szCs w:val="22"/>
                <w:color w:val="auto"/>
              </w:rPr>
              <w:t>(490,000)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3.66</w:t>
            </w:r>
          </w:p>
        </w:tc>
        <w:tc>
          <w:tcPr>
            <w:tcW w:w="0" w:type="dxa"/>
            <w:vAlign w:val="bottom"/>
          </w:tcPr>
          <w:p>
            <w:pPr>
              <w:spacing w:after="0"/>
              <w:rPr>
                <w:sz w:val="1"/>
                <w:szCs w:val="1"/>
                <w:color w:val="auto"/>
              </w:rPr>
            </w:pPr>
          </w:p>
        </w:tc>
      </w:tr>
      <w:tr>
        <w:trPr>
          <w:trHeight w:val="311"/>
        </w:trPr>
        <w:tc>
          <w:tcPr>
            <w:tcW w:w="7620" w:type="dxa"/>
            <w:vAlign w:val="bottom"/>
          </w:tcPr>
          <w:p>
            <w:pPr>
              <w:ind w:left="60"/>
              <w:spacing w:after="0"/>
              <w:rPr>
                <w:sz w:val="20"/>
                <w:szCs w:val="20"/>
                <w:color w:val="auto"/>
              </w:rPr>
            </w:pPr>
            <w:r>
              <w:rPr>
                <w:rFonts w:ascii="Arial" w:cs="Arial" w:eastAsia="Arial" w:hAnsi="Arial"/>
                <w:sz w:val="22"/>
                <w:szCs w:val="22"/>
                <w:color w:val="auto"/>
              </w:rPr>
              <w:t>Cancelled or 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(50,000)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3.66</w:t>
            </w:r>
          </w:p>
        </w:tc>
        <w:tc>
          <w:tcPr>
            <w:tcW w:w="0" w:type="dxa"/>
            <w:vAlign w:val="bottom"/>
          </w:tcPr>
          <w:p>
            <w:pPr>
              <w:spacing w:after="0"/>
              <w:rPr>
                <w:sz w:val="1"/>
                <w:szCs w:val="1"/>
                <w:color w:val="auto"/>
              </w:rPr>
            </w:pPr>
          </w:p>
        </w:tc>
      </w:tr>
      <w:tr>
        <w:trPr>
          <w:trHeight w:val="287"/>
        </w:trPr>
        <w:tc>
          <w:tcPr>
            <w:tcW w:w="7620" w:type="dxa"/>
            <w:vAlign w:val="bottom"/>
          </w:tcPr>
          <w:p>
            <w:pPr>
              <w:ind w:left="60"/>
              <w:spacing w:after="0"/>
              <w:rPr>
                <w:sz w:val="20"/>
                <w:szCs w:val="20"/>
                <w:color w:val="auto"/>
              </w:rPr>
            </w:pPr>
            <w:r>
              <w:rPr>
                <w:rFonts w:ascii="Arial" w:cs="Arial" w:eastAsia="Arial" w:hAnsi="Arial"/>
                <w:sz w:val="22"/>
                <w:szCs w:val="22"/>
                <w:b w:val="1"/>
                <w:bCs w:val="1"/>
                <w:color w:val="auto"/>
              </w:rPr>
              <w:t>Unvested restricted common stock as of December 31, 2025</w:t>
            </w:r>
          </w:p>
        </w:tc>
        <w:tc>
          <w:tcPr>
            <w:tcW w:w="1280" w:type="dxa"/>
            <w:vAlign w:val="bottom"/>
          </w:tcPr>
          <w:p>
            <w:pPr>
              <w:jc w:val="right"/>
              <w:spacing w:after="0"/>
              <w:rPr>
                <w:sz w:val="20"/>
                <w:szCs w:val="20"/>
                <w:color w:val="auto"/>
              </w:rPr>
            </w:pPr>
            <w:r>
              <w:rPr>
                <w:rFonts w:ascii="Arial" w:cs="Arial" w:eastAsia="Arial" w:hAnsi="Arial"/>
                <w:sz w:val="22"/>
                <w:szCs w:val="22"/>
                <w:color w:val="auto"/>
              </w:rPr>
              <w:t>450,000</w:t>
            </w:r>
          </w:p>
        </w:tc>
        <w:tc>
          <w:tcPr>
            <w:tcW w:w="24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-984885</wp:posOffset>
            </wp:positionV>
            <wp:extent cx="6522085" cy="1005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
                      <a:extLst>
                        <a:ext uri="{28A0092B-C50C-407E-A947-70E740481C1C}"/>
                      </a:extLst>
                    </a:blip>
                    <a:srcRect/>
                    <a:stretch>
                      <a:fillRect/>
                    </a:stretch>
                  </pic:blipFill>
                  <pic:spPr bwMode="auto">
                    <a:xfrm>
                      <a:off x="0" y="0"/>
                      <a:ext cx="6522085" cy="100584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right="560"/>
        <w:spacing w:after="0" w:line="271" w:lineRule="auto"/>
        <w:rPr>
          <w:sz w:val="20"/>
          <w:szCs w:val="20"/>
          <w:color w:val="auto"/>
        </w:rPr>
      </w:pPr>
      <w:r>
        <w:rPr>
          <w:rFonts w:ascii="Arial" w:cs="Arial" w:eastAsia="Arial" w:hAnsi="Arial"/>
          <w:sz w:val="22"/>
          <w:szCs w:val="22"/>
          <w:color w:val="auto"/>
        </w:rPr>
        <w:t>The aggregate fair value of restricted stock that vested during the years ended December 31, 2025 and 2024 was $1,793 and $48,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compensation expense</w:t>
      </w:r>
    </w:p>
    <w:p>
      <w:pPr>
        <w:spacing w:after="0" w:line="250" w:lineRule="exact"/>
        <w:rPr>
          <w:sz w:val="20"/>
          <w:szCs w:val="20"/>
          <w:color w:val="auto"/>
        </w:rPr>
      </w:pPr>
    </w:p>
    <w:p>
      <w:pPr>
        <w:ind w:right="100"/>
        <w:spacing w:after="0" w:line="271" w:lineRule="auto"/>
        <w:rPr>
          <w:sz w:val="20"/>
          <w:szCs w:val="20"/>
          <w:color w:val="auto"/>
        </w:rPr>
      </w:pPr>
      <w:r>
        <w:rPr>
          <w:rFonts w:ascii="Arial" w:cs="Arial" w:eastAsia="Arial" w:hAnsi="Arial"/>
          <w:sz w:val="22"/>
          <w:szCs w:val="22"/>
          <w:color w:val="auto"/>
        </w:rPr>
        <w:t>The Company recorded stock-based compensation expense in the following award type categories included within its consolidated statements of operations and comprehensive loss: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92"/>
        </w:trPr>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December 31,</w:t>
            </w:r>
          </w:p>
        </w:tc>
      </w:tr>
      <w:tr>
        <w:trPr>
          <w:trHeight w:val="274"/>
        </w:trPr>
        <w:tc>
          <w:tcPr>
            <w:tcW w:w="7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0"/>
        </w:trPr>
        <w:tc>
          <w:tcPr>
            <w:tcW w:w="7560" w:type="dxa"/>
            <w:vAlign w:val="bottom"/>
          </w:tcPr>
          <w:p>
            <w:pPr>
              <w:spacing w:after="0"/>
              <w:rPr>
                <w:sz w:val="20"/>
                <w:szCs w:val="20"/>
                <w:color w:val="auto"/>
              </w:rPr>
            </w:pPr>
            <w:r>
              <w:rPr>
                <w:rFonts w:ascii="Arial" w:cs="Arial" w:eastAsia="Arial" w:hAnsi="Arial"/>
                <w:sz w:val="22"/>
                <w:szCs w:val="22"/>
                <w:color w:val="auto"/>
              </w:rPr>
              <w:t>Stock options</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4,614</w:t>
            </w:r>
          </w:p>
        </w:tc>
        <w:tc>
          <w:tcPr>
            <w:tcW w:w="6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9,940</w:t>
            </w:r>
          </w:p>
        </w:tc>
      </w:tr>
      <w:tr>
        <w:trPr>
          <w:trHeight w:val="291"/>
        </w:trPr>
        <w:tc>
          <w:tcPr>
            <w:tcW w:w="7560" w:type="dxa"/>
            <w:vAlign w:val="bottom"/>
          </w:tcPr>
          <w:p>
            <w:pPr>
              <w:spacing w:after="0"/>
              <w:rPr>
                <w:sz w:val="20"/>
                <w:szCs w:val="20"/>
                <w:color w:val="auto"/>
              </w:rPr>
            </w:pPr>
            <w:r>
              <w:rPr>
                <w:rFonts w:ascii="Arial" w:cs="Arial" w:eastAsia="Arial" w:hAnsi="Arial"/>
                <w:sz w:val="22"/>
                <w:szCs w:val="22"/>
                <w:color w:val="auto"/>
              </w:rPr>
              <w:t>Restricted stock units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1,900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432</w:t>
            </w:r>
          </w:p>
        </w:tc>
      </w:tr>
      <w:tr>
        <w:trPr>
          <w:trHeight w:val="291"/>
        </w:trPr>
        <w:tc>
          <w:tcPr>
            <w:tcW w:w="7560" w:type="dxa"/>
            <w:vAlign w:val="bottom"/>
          </w:tcPr>
          <w:p>
            <w:pPr>
              <w:spacing w:after="0"/>
              <w:rPr>
                <w:sz w:val="20"/>
                <w:szCs w:val="20"/>
                <w:color w:val="auto"/>
              </w:rPr>
            </w:pPr>
            <w:r>
              <w:rPr>
                <w:rFonts w:ascii="Arial" w:cs="Arial" w:eastAsia="Arial" w:hAnsi="Arial"/>
                <w:sz w:val="22"/>
                <w:szCs w:val="22"/>
                <w:color w:val="auto"/>
              </w:rPr>
              <w:t>Employee Stock Purchase Plan and 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255</w:t>
            </w:r>
          </w:p>
        </w:tc>
      </w:tr>
      <w:tr>
        <w:trPr>
          <w:trHeight w:val="254"/>
        </w:trPr>
        <w:tc>
          <w:tcPr>
            <w:tcW w:w="7560" w:type="dxa"/>
            <w:vAlign w:val="bottom"/>
          </w:tcPr>
          <w:p>
            <w:pPr>
              <w:spacing w:after="0"/>
              <w:rPr>
                <w:sz w:val="22"/>
                <w:szCs w:val="22"/>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6,628</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10,627</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-777875</wp:posOffset>
            </wp:positionV>
            <wp:extent cx="6522085" cy="784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3">
                      <a:extLst>
                        <a:ext uri="{28A0092B-C50C-407E-A947-70E740481C1C}"/>
                      </a:extLst>
                    </a:blip>
                    <a:srcRect/>
                    <a:stretch>
                      <a:fillRect/>
                    </a:stretch>
                  </pic:blipFill>
                  <pic:spPr bwMode="auto">
                    <a:xfrm>
                      <a:off x="0" y="0"/>
                      <a:ext cx="6522085" cy="784860"/>
                    </a:xfrm>
                    <a:prstGeom prst="rect">
                      <a:avLst/>
                    </a:prstGeom>
                    <a:noFill/>
                  </pic:spPr>
                </pic:pic>
              </a:graphicData>
            </a:graphic>
          </wp:anchor>
        </w:drawing>
      </w:r>
    </w:p>
    <w:p>
      <w:pPr>
        <w:spacing w:after="0" w:line="217" w:lineRule="exact"/>
        <w:rPr>
          <w:sz w:val="20"/>
          <w:szCs w:val="20"/>
          <w:color w:val="auto"/>
        </w:rPr>
      </w:pPr>
    </w:p>
    <w:p>
      <w:pPr>
        <w:ind w:right="200"/>
        <w:spacing w:after="0" w:line="258" w:lineRule="auto"/>
        <w:rPr>
          <w:sz w:val="20"/>
          <w:szCs w:val="20"/>
          <w:color w:val="auto"/>
        </w:rPr>
      </w:pPr>
      <w:r>
        <w:rPr>
          <w:rFonts w:ascii="Arial" w:cs="Arial" w:eastAsia="Arial" w:hAnsi="Arial"/>
          <w:sz w:val="22"/>
          <w:szCs w:val="22"/>
          <w:color w:val="auto"/>
        </w:rPr>
        <w:t>For the years ended December 31, 2025 and 2024, the Company issued 44,197 and 37,407 shares, respectively, of common stock out of the 2020 Plan under the Company’s policy where non-employee directors may elect to receive their compensation in the form of common stock in lieu of cash.</w:t>
      </w:r>
    </w:p>
    <w:p>
      <w:pPr>
        <w:spacing w:after="0" w:line="196" w:lineRule="exact"/>
        <w:rPr>
          <w:sz w:val="20"/>
          <w:szCs w:val="20"/>
          <w:color w:val="auto"/>
        </w:rPr>
      </w:pPr>
    </w:p>
    <w:p>
      <w:pPr>
        <w:ind w:right="320"/>
        <w:spacing w:after="0" w:line="308" w:lineRule="auto"/>
        <w:rPr>
          <w:sz w:val="20"/>
          <w:szCs w:val="20"/>
          <w:color w:val="auto"/>
        </w:rPr>
      </w:pPr>
      <w:r>
        <w:rPr>
          <w:rFonts w:ascii="Arial" w:cs="Arial" w:eastAsia="Arial" w:hAnsi="Arial"/>
          <w:sz w:val="20"/>
          <w:szCs w:val="20"/>
          <w:color w:val="auto"/>
        </w:rPr>
        <w:t>The Company recorded stock-based compensation expense related to stock options and restricted stock units in the following expense categories of its consolidated statements of operations and comprehensive loss: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77"/>
        </w:trPr>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400"/>
              <w:spacing w:after="0"/>
              <w:rPr>
                <w:sz w:val="20"/>
                <w:szCs w:val="20"/>
                <w:color w:val="auto"/>
              </w:rPr>
            </w:pPr>
            <w:r>
              <w:rPr>
                <w:rFonts w:ascii="Arial" w:cs="Arial" w:eastAsia="Arial" w:hAnsi="Arial"/>
                <w:sz w:val="22"/>
                <w:szCs w:val="22"/>
                <w:color w:val="auto"/>
              </w:rPr>
              <w:t>December 31,</w:t>
            </w:r>
          </w:p>
        </w:tc>
      </w:tr>
      <w:tr>
        <w:trPr>
          <w:trHeight w:val="274"/>
        </w:trPr>
        <w:tc>
          <w:tcPr>
            <w:tcW w:w="75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0"/>
        </w:trPr>
        <w:tc>
          <w:tcPr>
            <w:tcW w:w="7560" w:type="dxa"/>
            <w:vAlign w:val="bottom"/>
          </w:tcPr>
          <w:p>
            <w:pPr>
              <w:spacing w:after="0"/>
              <w:rPr>
                <w:sz w:val="20"/>
                <w:szCs w:val="20"/>
                <w:color w:val="auto"/>
              </w:rPr>
            </w:pPr>
            <w:r>
              <w:rPr>
                <w:rFonts w:ascii="Arial" w:cs="Arial" w:eastAsia="Arial" w:hAnsi="Arial"/>
                <w:sz w:val="22"/>
                <w:szCs w:val="22"/>
                <w:color w:val="auto"/>
              </w:rPr>
              <w:t>Research and development</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ind w:left="400"/>
              <w:spacing w:after="0"/>
              <w:rPr>
                <w:sz w:val="20"/>
                <w:szCs w:val="20"/>
                <w:color w:val="auto"/>
              </w:rPr>
            </w:pPr>
            <w:r>
              <w:rPr>
                <w:rFonts w:ascii="Arial" w:cs="Arial" w:eastAsia="Arial" w:hAnsi="Arial"/>
                <w:sz w:val="22"/>
                <w:szCs w:val="22"/>
                <w:color w:val="auto"/>
              </w:rPr>
              <w:t>3,009</w:t>
            </w:r>
          </w:p>
        </w:tc>
        <w:tc>
          <w:tcPr>
            <w:tcW w:w="6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2,583</w:t>
            </w:r>
          </w:p>
        </w:tc>
      </w:tr>
      <w:tr>
        <w:trPr>
          <w:trHeight w:val="288"/>
        </w:trPr>
        <w:tc>
          <w:tcPr>
            <w:tcW w:w="7560" w:type="dxa"/>
            <w:vAlign w:val="bottom"/>
          </w:tcPr>
          <w:p>
            <w:pPr>
              <w:spacing w:after="0"/>
              <w:rPr>
                <w:sz w:val="20"/>
                <w:szCs w:val="20"/>
                <w:color w:val="auto"/>
              </w:rPr>
            </w:pPr>
            <w:r>
              <w:rPr>
                <w:rFonts w:ascii="Arial" w:cs="Arial" w:eastAsia="Arial" w:hAnsi="Arial"/>
                <w:sz w:val="22"/>
                <w:szCs w:val="22"/>
                <w:color w:val="auto"/>
              </w:rPr>
              <w:t>General and administrative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3,619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8,044</w:t>
            </w:r>
          </w:p>
        </w:tc>
      </w:tr>
      <w:tr>
        <w:trPr>
          <w:trHeight w:val="254"/>
        </w:trPr>
        <w:tc>
          <w:tcPr>
            <w:tcW w:w="7560" w:type="dxa"/>
            <w:vAlign w:val="bottom"/>
          </w:tcPr>
          <w:p>
            <w:pPr>
              <w:spacing w:after="0"/>
              <w:rPr>
                <w:sz w:val="22"/>
                <w:szCs w:val="22"/>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6,628</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10,627</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-591185</wp:posOffset>
            </wp:positionV>
            <wp:extent cx="6522085" cy="212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a:extLst>
                        <a:ext uri="{28A0092B-C50C-407E-A947-70E740481C1C}"/>
                      </a:extLst>
                    </a:blip>
                    <a:srcRect/>
                    <a:stretch>
                      <a:fillRect/>
                    </a:stretch>
                  </pic:blipFill>
                  <pic:spPr bwMode="auto">
                    <a:xfrm>
                      <a:off x="0" y="0"/>
                      <a:ext cx="6522085" cy="2120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-217805</wp:posOffset>
            </wp:positionV>
            <wp:extent cx="6522085" cy="2247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5">
                      <a:extLst>
                        <a:ext uri="{28A0092B-C50C-407E-A947-70E740481C1C}"/>
                      </a:extLst>
                    </a:blip>
                    <a:srcRect/>
                    <a:stretch>
                      <a:fillRect/>
                    </a:stretch>
                  </pic:blipFill>
                  <pic:spPr bwMode="auto">
                    <a:xfrm>
                      <a:off x="0" y="0"/>
                      <a:ext cx="6522085" cy="224790"/>
                    </a:xfrm>
                    <a:prstGeom prst="rect">
                      <a:avLst/>
                    </a:prstGeom>
                    <a:noFill/>
                  </pic:spPr>
                </pic:pic>
              </a:graphicData>
            </a:graphic>
          </wp:anchor>
        </w:drawing>
      </w:r>
    </w:p>
    <w:p>
      <w:pPr>
        <w:spacing w:after="0" w:line="240" w:lineRule="exact"/>
        <w:rPr>
          <w:sz w:val="20"/>
          <w:szCs w:val="20"/>
          <w:color w:val="auto"/>
        </w:rPr>
      </w:pPr>
    </w:p>
    <w:p>
      <w:pPr>
        <w:ind w:right="380"/>
        <w:spacing w:after="0" w:line="271" w:lineRule="auto"/>
        <w:rPr>
          <w:sz w:val="20"/>
          <w:szCs w:val="20"/>
          <w:color w:val="auto"/>
        </w:rPr>
      </w:pPr>
      <w:r>
        <w:rPr>
          <w:rFonts w:ascii="Arial" w:cs="Arial" w:eastAsia="Arial" w:hAnsi="Arial"/>
          <w:sz w:val="22"/>
          <w:szCs w:val="22"/>
          <w:color w:val="auto"/>
        </w:rPr>
        <w:t>As of December 31, 2025, total unrecognized compensation cost related to the unvested stock options was $8,145, which is expected to be recognized over a weighted average period of 2.1 years.</w:t>
      </w:r>
    </w:p>
    <w:p>
      <w:pPr>
        <w:sectPr>
          <w:pgSz w:w="11880" w:h="15480" w:orient="portrait"/>
          <w:cols w:equalWidth="0" w:num="1">
            <w:col w:w="10240"/>
          </w:cols>
          <w:pgMar w:left="820" w:top="668" w:right="820" w:bottom="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152</w:t>
      </w:r>
    </w:p>
    <w:p>
      <w:pPr>
        <w:sectPr>
          <w:pgSz w:w="11880" w:h="15480" w:orient="portrait"/>
          <w:cols w:equalWidth="0" w:num="1">
            <w:col w:w="10240"/>
          </w:cols>
          <w:pgMar w:left="820" w:top="668" w:right="820" w:bottom="0" w:gutter="0" w:footer="0" w:header="0"/>
          <w:type w:val="continuous"/>
        </w:sectPr>
      </w:pPr>
    </w:p>
    <w:bookmarkStart w:id="156" w:name="page157"/>
    <w:bookmarkEnd w:id="156"/>
    <w:p>
      <w:pPr>
        <w:ind w:right="420"/>
        <w:spacing w:after="0" w:line="322" w:lineRule="auto"/>
        <w:rPr>
          <w:sz w:val="20"/>
          <w:szCs w:val="20"/>
          <w:color w:val="auto"/>
        </w:rPr>
      </w:pPr>
      <w:r>
        <w:rPr>
          <w:rFonts w:ascii="Arial" w:cs="Arial" w:eastAsia="Arial" w:hAnsi="Arial"/>
          <w:sz w:val="20"/>
          <w:szCs w:val="20"/>
          <w:color w:val="auto"/>
        </w:rPr>
        <w:t>As of December 31, 2025, total unrecognized compensation cost related to the unvested restricted stock units was $612, which is expected to be recognized over a weighted average period of 1.1 years.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stock purchase plan</w:t>
      </w:r>
    </w:p>
    <w:p>
      <w:pPr>
        <w:spacing w:after="0" w:line="250" w:lineRule="exact"/>
        <w:rPr>
          <w:sz w:val="20"/>
          <w:szCs w:val="20"/>
          <w:color w:val="auto"/>
        </w:rPr>
      </w:pPr>
    </w:p>
    <w:p>
      <w:pPr>
        <w:jc w:val="both"/>
        <w:ind w:right="20"/>
        <w:spacing w:after="0" w:line="292" w:lineRule="auto"/>
        <w:rPr>
          <w:sz w:val="20"/>
          <w:szCs w:val="20"/>
          <w:color w:val="auto"/>
        </w:rPr>
      </w:pPr>
      <w:r>
        <w:rPr>
          <w:rFonts w:ascii="Arial" w:cs="Arial" w:eastAsia="Arial" w:hAnsi="Arial"/>
          <w:sz w:val="19"/>
          <w:szCs w:val="19"/>
          <w:color w:val="auto"/>
        </w:rPr>
        <w:t>The 2020 ESPP enables eligible employees to purchase shares of the Company's common stock at the end of each six-month offering period at a price equal to 85% of the fair market value of the shares on the first business day or the last business day of the offering period, whichever is lower. Eligible employees generally includes all employees.</w:t>
      </w:r>
    </w:p>
    <w:p>
      <w:pPr>
        <w:ind w:right="40"/>
        <w:spacing w:after="0" w:line="284" w:lineRule="auto"/>
        <w:rPr>
          <w:sz w:val="20"/>
          <w:szCs w:val="20"/>
          <w:color w:val="auto"/>
        </w:rPr>
      </w:pPr>
      <w:r>
        <w:rPr>
          <w:rFonts w:ascii="Arial" w:cs="Arial" w:eastAsia="Arial" w:hAnsi="Arial"/>
          <w:sz w:val="20"/>
          <w:szCs w:val="20"/>
          <w:color w:val="auto"/>
        </w:rPr>
        <w:t>Offering periods begin on the first trading day of January and July of each year and end on the last trading day in June and December of each year. Share purchases are funded through payroll deductions of up to 10% of an employee’s eligible compensation for each payroll period, up to $25 each calendar year.</w:t>
      </w:r>
    </w:p>
    <w:p>
      <w:pPr>
        <w:spacing w:after="0" w:line="174" w:lineRule="exact"/>
        <w:rPr>
          <w:sz w:val="20"/>
          <w:szCs w:val="20"/>
          <w:color w:val="auto"/>
        </w:rPr>
      </w:pPr>
    </w:p>
    <w:p>
      <w:pPr>
        <w:ind w:right="240"/>
        <w:spacing w:after="0" w:line="271" w:lineRule="auto"/>
        <w:rPr>
          <w:sz w:val="20"/>
          <w:szCs w:val="20"/>
          <w:color w:val="auto"/>
        </w:rPr>
      </w:pPr>
      <w:r>
        <w:rPr>
          <w:rFonts w:ascii="Arial" w:cs="Arial" w:eastAsia="Arial" w:hAnsi="Arial"/>
          <w:sz w:val="22"/>
          <w:szCs w:val="22"/>
          <w:color w:val="auto"/>
        </w:rPr>
        <w:t>For the years ended December 31, 2025 and 2024, there were 24,741 and 114,102 shares, respectively, issued under the 2020 ESPP.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620" w:type="dxa"/>
            <w:vAlign w:val="bottom"/>
          </w:tcPr>
          <w:p>
            <w:pPr>
              <w:spacing w:after="0"/>
              <w:rPr>
                <w:sz w:val="20"/>
                <w:szCs w:val="20"/>
                <w:color w:val="auto"/>
              </w:rPr>
            </w:pPr>
            <w:r>
              <w:rPr>
                <w:rFonts w:ascii="Arial" w:cs="Arial" w:eastAsia="Arial" w:hAnsi="Arial"/>
                <w:sz w:val="22"/>
                <w:szCs w:val="22"/>
                <w:b w:val="1"/>
                <w:bCs w:val="1"/>
                <w:color w:val="auto"/>
              </w:rPr>
              <w:t>9. INCOME TAXES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38"/>
        </w:trPr>
        <w:tc>
          <w:tcPr>
            <w:tcW w:w="7620" w:type="dxa"/>
            <w:vAlign w:val="bottom"/>
          </w:tcPr>
          <w:p>
            <w:pPr>
              <w:spacing w:after="0"/>
              <w:rPr>
                <w:sz w:val="20"/>
                <w:szCs w:val="20"/>
                <w:color w:val="auto"/>
              </w:rPr>
            </w:pPr>
            <w:r>
              <w:rPr>
                <w:rFonts w:ascii="Arial" w:cs="Arial" w:eastAsia="Arial" w:hAnsi="Arial"/>
                <w:sz w:val="22"/>
                <w:szCs w:val="22"/>
                <w:color w:val="auto"/>
              </w:rPr>
              <w:t>Income (loss) before income tax expense consists of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9"/>
        </w:trPr>
        <w:tc>
          <w:tcPr>
            <w:tcW w:w="7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December 31,</w:t>
            </w:r>
          </w:p>
        </w:tc>
      </w:tr>
      <w:tr>
        <w:trPr>
          <w:trHeight w:val="274"/>
        </w:trPr>
        <w:tc>
          <w:tcPr>
            <w:tcW w:w="7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0"/>
        </w:trPr>
        <w:tc>
          <w:tcPr>
            <w:tcW w:w="7620" w:type="dxa"/>
            <w:vAlign w:val="bottom"/>
          </w:tcPr>
          <w:p>
            <w:pPr>
              <w:ind w:left="60"/>
              <w:spacing w:after="0"/>
              <w:rPr>
                <w:sz w:val="20"/>
                <w:szCs w:val="20"/>
                <w:color w:val="auto"/>
              </w:rPr>
            </w:pPr>
            <w:r>
              <w:rPr>
                <w:rFonts w:ascii="Arial" w:cs="Arial" w:eastAsia="Arial" w:hAnsi="Arial"/>
                <w:sz w:val="22"/>
                <w:szCs w:val="22"/>
                <w:color w:val="auto"/>
              </w:rPr>
              <w:t>Domestic</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22,365</w:t>
            </w:r>
          </w:p>
        </w:tc>
        <w:tc>
          <w:tcPr>
            <w:tcW w:w="60" w:type="dxa"/>
            <w:vAlign w:val="bottom"/>
          </w:tcPr>
          <w:p>
            <w:pPr>
              <w:spacing w:after="0"/>
              <w:rPr>
                <w:sz w:val="24"/>
                <w:szCs w:val="24"/>
                <w:color w:val="auto"/>
              </w:rPr>
            </w:pP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(69,676)</w:t>
            </w:r>
          </w:p>
        </w:tc>
      </w:tr>
      <w:tr>
        <w:trPr>
          <w:trHeight w:val="288"/>
        </w:trPr>
        <w:tc>
          <w:tcPr>
            <w:tcW w:w="7620" w:type="dxa"/>
            <w:vAlign w:val="bottom"/>
          </w:tcPr>
          <w:p>
            <w:pPr>
              <w:ind w:left="60"/>
              <w:spacing w:after="0"/>
              <w:rPr>
                <w:sz w:val="20"/>
                <w:szCs w:val="20"/>
                <w:color w:val="auto"/>
              </w:rPr>
            </w:pPr>
            <w:r>
              <w:rPr>
                <w:rFonts w:ascii="Arial" w:cs="Arial" w:eastAsia="Arial" w:hAnsi="Arial"/>
                <w:sz w:val="22"/>
                <w:szCs w:val="22"/>
                <w:color w:val="auto"/>
              </w:rPr>
              <w:t>Foreign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54"/>
        </w:trPr>
        <w:tc>
          <w:tcPr>
            <w:tcW w:w="7620" w:type="dxa"/>
            <w:vAlign w:val="bottom"/>
          </w:tcPr>
          <w:p>
            <w:pPr>
              <w:ind w:left="60"/>
              <w:spacing w:after="0"/>
              <w:rPr>
                <w:sz w:val="20"/>
                <w:szCs w:val="20"/>
                <w:color w:val="auto"/>
              </w:rPr>
            </w:pPr>
            <w:r>
              <w:rPr>
                <w:rFonts w:ascii="Arial" w:cs="Arial" w:eastAsia="Arial" w:hAnsi="Arial"/>
                <w:sz w:val="22"/>
                <w:szCs w:val="22"/>
                <w:color w:val="auto"/>
              </w:rPr>
              <w:t>Total income (loss) before income taxes</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22,365</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(69,676)</w:t>
            </w:r>
          </w:p>
        </w:tc>
      </w:tr>
      <w:tr>
        <w:trPr>
          <w:trHeight w:val="20"/>
        </w:trPr>
        <w:tc>
          <w:tcPr>
            <w:tcW w:w="7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-777875</wp:posOffset>
            </wp:positionV>
            <wp:extent cx="6522085" cy="784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a:extLst>
                        <a:ext uri="{28A0092B-C50C-407E-A947-70E740481C1C}"/>
                      </a:extLst>
                    </a:blip>
                    <a:srcRect/>
                    <a:stretch>
                      <a:fillRect/>
                    </a:stretch>
                  </pic:blipFill>
                  <pic:spPr bwMode="auto">
                    <a:xfrm>
                      <a:off x="0" y="0"/>
                      <a:ext cx="6522085" cy="784860"/>
                    </a:xfrm>
                    <a:prstGeom prst="rect">
                      <a:avLst/>
                    </a:prstGeom>
                    <a:noFill/>
                  </pic:spPr>
                </pic:pic>
              </a:graphicData>
            </a:graphic>
          </wp:anchor>
        </w:drawing>
      </w:r>
    </w:p>
    <w:p>
      <w:pPr>
        <w:spacing w:after="0" w:line="217" w:lineRule="exact"/>
        <w:rPr>
          <w:sz w:val="20"/>
          <w:szCs w:val="20"/>
          <w:color w:val="auto"/>
        </w:rPr>
      </w:pPr>
    </w:p>
    <w:p>
      <w:pPr>
        <w:ind w:right="140"/>
        <w:spacing w:after="0" w:line="322" w:lineRule="auto"/>
        <w:rPr>
          <w:sz w:val="20"/>
          <w:szCs w:val="20"/>
          <w:color w:val="auto"/>
        </w:rPr>
      </w:pPr>
      <w:r>
        <w:rPr>
          <w:rFonts w:ascii="Arial" w:cs="Arial" w:eastAsia="Arial" w:hAnsi="Arial"/>
          <w:sz w:val="20"/>
          <w:szCs w:val="20"/>
          <w:color w:val="auto"/>
        </w:rPr>
        <w:t>For the years ended December 31, 2025 and 2024, the Company recorded no income tax benefit for the net operating income (losses) incurred each year, due to its uncertainty of realizing a benefit from those items.</w:t>
      </w:r>
    </w:p>
    <w:p>
      <w:pPr>
        <w:spacing w:after="0" w:line="136" w:lineRule="exact"/>
        <w:rPr>
          <w:sz w:val="20"/>
          <w:szCs w:val="20"/>
          <w:color w:val="auto"/>
        </w:rPr>
      </w:pPr>
    </w:p>
    <w:p>
      <w:pPr>
        <w:ind w:right="360"/>
        <w:spacing w:after="0" w:line="313" w:lineRule="auto"/>
        <w:rPr>
          <w:sz w:val="20"/>
          <w:szCs w:val="20"/>
          <w:color w:val="auto"/>
        </w:rPr>
      </w:pPr>
      <w:r>
        <w:rPr>
          <w:rFonts w:ascii="Arial" w:cs="Arial" w:eastAsia="Arial" w:hAnsi="Arial"/>
          <w:sz w:val="20"/>
          <w:szCs w:val="20"/>
          <w:color w:val="auto"/>
        </w:rPr>
        <w:t>The reconciliation of income taxes at the federal statutory rate to the reported rate for income taxes pursuant to the disclosure requirements of ASU 2023-09 for the year ended December 31, 2025 is as follows: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7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22"/>
                <w:szCs w:val="22"/>
                <w:color w:val="auto"/>
                <w:w w:val="99"/>
              </w:rPr>
              <w:t>December 31, 2025</w:t>
            </w:r>
          </w:p>
        </w:tc>
      </w:tr>
      <w:tr>
        <w:trPr>
          <w:trHeight w:val="289"/>
        </w:trPr>
        <w:tc>
          <w:tcPr>
            <w:tcW w:w="7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Amount</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5"/>
              </w:rPr>
              <w:t>Percentage</w:t>
            </w:r>
          </w:p>
        </w:tc>
      </w:tr>
      <w:tr>
        <w:trPr>
          <w:trHeight w:val="287"/>
        </w:trPr>
        <w:tc>
          <w:tcPr>
            <w:tcW w:w="7560" w:type="dxa"/>
            <w:vAlign w:val="bottom"/>
          </w:tcPr>
          <w:p>
            <w:pPr>
              <w:spacing w:after="0"/>
              <w:rPr>
                <w:sz w:val="20"/>
                <w:szCs w:val="20"/>
                <w:color w:val="auto"/>
              </w:rPr>
            </w:pPr>
            <w:r>
              <w:rPr>
                <w:rFonts w:ascii="Arial" w:cs="Arial" w:eastAsia="Arial" w:hAnsi="Arial"/>
                <w:sz w:val="22"/>
                <w:szCs w:val="22"/>
                <w:color w:val="auto"/>
              </w:rPr>
              <w:t>U.S. federal taxes at statutory rate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4,753</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21.0 %</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State Income taxes, net of federal benefit*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0.0 %</w:t>
            </w:r>
          </w:p>
        </w:tc>
      </w:tr>
      <w:tr>
        <w:trPr>
          <w:trHeight w:val="299"/>
        </w:trPr>
        <w:tc>
          <w:tcPr>
            <w:tcW w:w="7560" w:type="dxa"/>
            <w:vAlign w:val="bottom"/>
          </w:tcPr>
          <w:p>
            <w:pPr>
              <w:spacing w:after="0"/>
              <w:rPr>
                <w:sz w:val="20"/>
                <w:szCs w:val="20"/>
                <w:color w:val="auto"/>
              </w:rPr>
            </w:pPr>
            <w:r>
              <w:rPr>
                <w:rFonts w:ascii="Arial" w:cs="Arial" w:eastAsia="Arial" w:hAnsi="Arial"/>
                <w:sz w:val="22"/>
                <w:szCs w:val="22"/>
                <w:color w:val="auto"/>
              </w:rPr>
              <w:t>Tax Credits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9"/>
        </w:trPr>
        <w:tc>
          <w:tcPr>
            <w:tcW w:w="7560" w:type="dxa"/>
            <w:vAlign w:val="bottom"/>
          </w:tcPr>
          <w:p>
            <w:pPr>
              <w:ind w:left="240"/>
              <w:spacing w:after="0"/>
              <w:rPr>
                <w:sz w:val="20"/>
                <w:szCs w:val="20"/>
                <w:color w:val="auto"/>
              </w:rPr>
            </w:pPr>
            <w:r>
              <w:rPr>
                <w:rFonts w:ascii="Arial" w:cs="Arial" w:eastAsia="Arial" w:hAnsi="Arial"/>
                <w:sz w:val="22"/>
                <w:szCs w:val="22"/>
                <w:color w:val="auto"/>
              </w:rPr>
              <w:t>Federal R&amp;D Tax credits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(1,266)</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(5.6)%</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Changes in valuation allowances</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(5,566)</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(24.6)%</w:t>
            </w:r>
          </w:p>
        </w:tc>
      </w:tr>
      <w:tr>
        <w:trPr>
          <w:trHeight w:val="299"/>
        </w:trPr>
        <w:tc>
          <w:tcPr>
            <w:tcW w:w="7560" w:type="dxa"/>
            <w:vAlign w:val="bottom"/>
          </w:tcPr>
          <w:p>
            <w:pPr>
              <w:spacing w:after="0"/>
              <w:rPr>
                <w:sz w:val="20"/>
                <w:szCs w:val="20"/>
                <w:color w:val="auto"/>
              </w:rPr>
            </w:pPr>
            <w:r>
              <w:rPr>
                <w:rFonts w:ascii="Arial" w:cs="Arial" w:eastAsia="Arial" w:hAnsi="Arial"/>
                <w:sz w:val="22"/>
                <w:szCs w:val="22"/>
                <w:color w:val="auto"/>
              </w:rPr>
              <w:t>Nontaxable or nondeductible expenses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9"/>
        </w:trPr>
        <w:tc>
          <w:tcPr>
            <w:tcW w:w="7560" w:type="dxa"/>
            <w:vAlign w:val="bottom"/>
          </w:tcPr>
          <w:p>
            <w:pPr>
              <w:ind w:left="240"/>
              <w:spacing w:after="0"/>
              <w:rPr>
                <w:sz w:val="20"/>
                <w:szCs w:val="20"/>
                <w:color w:val="auto"/>
              </w:rPr>
            </w:pPr>
            <w:r>
              <w:rPr>
                <w:rFonts w:ascii="Arial" w:cs="Arial" w:eastAsia="Arial" w:hAnsi="Arial"/>
                <w:sz w:val="22"/>
                <w:szCs w:val="22"/>
                <w:color w:val="auto"/>
              </w:rPr>
              <w:t>Stock Compensation</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2,066</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9.2 %</w:t>
            </w: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Other</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0.0 %</w:t>
            </w:r>
          </w:p>
        </w:tc>
      </w:tr>
      <w:tr>
        <w:trPr>
          <w:trHeight w:val="311"/>
        </w:trPr>
        <w:tc>
          <w:tcPr>
            <w:tcW w:w="7560" w:type="dxa"/>
            <w:vAlign w:val="bottom"/>
          </w:tcPr>
          <w:p>
            <w:pPr>
              <w:spacing w:after="0"/>
              <w:rPr>
                <w:sz w:val="20"/>
                <w:szCs w:val="20"/>
                <w:color w:val="auto"/>
              </w:rPr>
            </w:pPr>
            <w:r>
              <w:rPr>
                <w:rFonts w:ascii="Arial" w:cs="Arial" w:eastAsia="Arial" w:hAnsi="Arial"/>
                <w:sz w:val="22"/>
                <w:szCs w:val="22"/>
                <w:color w:val="auto"/>
              </w:rPr>
              <w:t>Other Adjustments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0.0 %</w:t>
            </w:r>
          </w:p>
        </w:tc>
      </w:tr>
      <w:tr>
        <w:trPr>
          <w:trHeight w:val="269"/>
        </w:trPr>
        <w:tc>
          <w:tcPr>
            <w:tcW w:w="7560" w:type="dxa"/>
            <w:vAlign w:val="bottom"/>
          </w:tcPr>
          <w:p>
            <w:pPr>
              <w:spacing w:after="0"/>
              <w:rPr>
                <w:sz w:val="20"/>
                <w:szCs w:val="20"/>
                <w:color w:val="auto"/>
              </w:rPr>
            </w:pPr>
            <w:r>
              <w:rPr>
                <w:rFonts w:ascii="Arial" w:cs="Arial" w:eastAsia="Arial" w:hAnsi="Arial"/>
                <w:sz w:val="22"/>
                <w:szCs w:val="22"/>
                <w:color w:val="auto"/>
              </w:rPr>
              <w:t>Total</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0.0 %</w:t>
            </w:r>
          </w:p>
        </w:tc>
      </w:tr>
      <w:tr>
        <w:trPr>
          <w:trHeight w:val="20"/>
        </w:trPr>
        <w:tc>
          <w:tcPr>
            <w:tcW w:w="7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-1991360</wp:posOffset>
            </wp:positionV>
            <wp:extent cx="6522085" cy="1998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7">
                      <a:extLst>
                        <a:ext uri="{28A0092B-C50C-407E-A947-70E740481C1C}"/>
                      </a:extLst>
                    </a:blip>
                    <a:srcRect/>
                    <a:stretch>
                      <a:fillRect/>
                    </a:stretch>
                  </pic:blipFill>
                  <pic:spPr bwMode="auto">
                    <a:xfrm>
                      <a:off x="0" y="0"/>
                      <a:ext cx="6522085" cy="1998345"/>
                    </a:xfrm>
                    <a:prstGeom prst="rect">
                      <a:avLst/>
                    </a:prstGeom>
                    <a:noFill/>
                  </pic:spPr>
                </pic:pic>
              </a:graphicData>
            </a:graphic>
          </wp:anchor>
        </w:drawing>
      </w:r>
    </w:p>
    <w:p>
      <w:pPr>
        <w:spacing w:after="0" w:line="37" w:lineRule="exact"/>
        <w:rPr>
          <w:sz w:val="20"/>
          <w:szCs w:val="20"/>
          <w:color w:val="auto"/>
        </w:rPr>
      </w:pPr>
    </w:p>
    <w:p>
      <w:pPr>
        <w:ind w:firstLine="4"/>
        <w:spacing w:after="0" w:line="274" w:lineRule="auto"/>
        <w:tabs>
          <w:tab w:leader="none" w:pos="305" w:val="left"/>
        </w:tabs>
        <w:numPr>
          <w:ilvl w:val="0"/>
          <w:numId w:val="6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State taxes in Massachusetts make up the majority (greater than 50 percent) of the tax effect in this category, offset with a valuation allowance.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153</w:t>
      </w:r>
    </w:p>
    <w:p>
      <w:pPr>
        <w:sectPr>
          <w:pgSz w:w="11880" w:h="15480" w:orient="portrait"/>
          <w:cols w:equalWidth="0" w:num="1">
            <w:col w:w="10240"/>
          </w:cols>
          <w:pgMar w:left="820" w:top="678" w:right="820" w:bottom="0" w:gutter="0" w:footer="0" w:header="0"/>
          <w:type w:val="continuous"/>
        </w:sectPr>
      </w:pPr>
    </w:p>
    <w:bookmarkStart w:id="157" w:name="page158"/>
    <w:bookmarkEnd w:id="157"/>
    <w:p>
      <w:pPr>
        <w:ind w:right="240"/>
        <w:spacing w:after="0" w:line="271" w:lineRule="auto"/>
        <w:rPr>
          <w:sz w:val="20"/>
          <w:szCs w:val="20"/>
          <w:color w:val="auto"/>
        </w:rPr>
      </w:pPr>
      <w:r>
        <w:rPr>
          <w:rFonts w:ascii="Arial" w:cs="Arial" w:eastAsia="Arial" w:hAnsi="Arial"/>
          <w:sz w:val="22"/>
          <w:szCs w:val="22"/>
          <w:color w:val="auto"/>
        </w:rPr>
        <w:t>The reconciliation of income taxes at the federal statutory rate to the reported rate for income taxes for years prior to our adoption of ASU 2023-09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wp:posOffset>
            </wp:positionV>
            <wp:extent cx="6522085" cy="1802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8">
                      <a:extLst>
                        <a:ext uri="{28A0092B-C50C-407E-A947-70E740481C1C}"/>
                      </a:extLst>
                    </a:blip>
                    <a:srcRect/>
                    <a:stretch>
                      <a:fillRect/>
                    </a:stretch>
                  </pic:blipFill>
                  <pic:spPr bwMode="auto">
                    <a:xfrm>
                      <a:off x="0" y="0"/>
                      <a:ext cx="6522085" cy="1802130"/>
                    </a:xfrm>
                    <a:prstGeom prst="rect">
                      <a:avLst/>
                    </a:prstGeom>
                    <a:noFill/>
                  </pic:spPr>
                </pic:pic>
              </a:graphicData>
            </a:graphic>
          </wp:anchor>
        </w:drawing>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7920" w:type="dxa"/>
            <w:vAlign w:val="bottom"/>
          </w:tcPr>
          <w:p>
            <w:pPr>
              <w:spacing w:after="0"/>
              <w:rPr>
                <w:sz w:val="24"/>
                <w:szCs w:val="24"/>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December 31, 2024</w:t>
            </w:r>
          </w:p>
        </w:tc>
        <w:tc>
          <w:tcPr>
            <w:tcW w:w="240" w:type="dxa"/>
            <w:vAlign w:val="bottom"/>
            <w:tcBorders>
              <w:bottom w:val="single" w:sz="8" w:color="auto"/>
            </w:tcBorders>
          </w:tcPr>
          <w:p>
            <w:pPr>
              <w:spacing w:after="0"/>
              <w:rPr>
                <w:sz w:val="24"/>
                <w:szCs w:val="24"/>
                <w:color w:val="auto"/>
              </w:rPr>
            </w:pPr>
          </w:p>
        </w:tc>
      </w:tr>
      <w:tr>
        <w:trPr>
          <w:trHeight w:val="287"/>
        </w:trPr>
        <w:tc>
          <w:tcPr>
            <w:tcW w:w="7920" w:type="dxa"/>
            <w:vAlign w:val="bottom"/>
          </w:tcPr>
          <w:p>
            <w:pPr>
              <w:spacing w:after="0"/>
              <w:rPr>
                <w:sz w:val="20"/>
                <w:szCs w:val="20"/>
                <w:color w:val="auto"/>
              </w:rPr>
            </w:pPr>
            <w:r>
              <w:rPr>
                <w:rFonts w:ascii="Arial" w:cs="Arial" w:eastAsia="Arial" w:hAnsi="Arial"/>
                <w:sz w:val="22"/>
                <w:szCs w:val="22"/>
                <w:color w:val="auto"/>
              </w:rPr>
              <w:t>U.S. federal statutory income tax rate</w:t>
            </w:r>
          </w:p>
        </w:tc>
        <w:tc>
          <w:tcPr>
            <w:tcW w:w="2020" w:type="dxa"/>
            <w:vAlign w:val="bottom"/>
          </w:tcPr>
          <w:p>
            <w:pPr>
              <w:jc w:val="right"/>
              <w:spacing w:after="0"/>
              <w:rPr>
                <w:sz w:val="20"/>
                <w:szCs w:val="20"/>
                <w:color w:val="auto"/>
              </w:rPr>
            </w:pPr>
            <w:r>
              <w:rPr>
                <w:rFonts w:ascii="Arial" w:cs="Arial" w:eastAsia="Arial" w:hAnsi="Arial"/>
                <w:sz w:val="22"/>
                <w:szCs w:val="22"/>
                <w:color w:val="auto"/>
              </w:rPr>
              <w:t>21.0</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9"/>
        </w:trPr>
        <w:tc>
          <w:tcPr>
            <w:tcW w:w="7920" w:type="dxa"/>
            <w:vAlign w:val="bottom"/>
          </w:tcPr>
          <w:p>
            <w:pPr>
              <w:spacing w:after="0"/>
              <w:rPr>
                <w:sz w:val="20"/>
                <w:szCs w:val="20"/>
                <w:color w:val="auto"/>
              </w:rPr>
            </w:pPr>
            <w:r>
              <w:rPr>
                <w:rFonts w:ascii="Arial" w:cs="Arial" w:eastAsia="Arial" w:hAnsi="Arial"/>
                <w:sz w:val="22"/>
                <w:szCs w:val="22"/>
                <w:color w:val="auto"/>
              </w:rPr>
              <w:t>State and local taxes, net of federal benefit</w:t>
            </w:r>
          </w:p>
        </w:tc>
        <w:tc>
          <w:tcPr>
            <w:tcW w:w="2020" w:type="dxa"/>
            <w:vAlign w:val="bottom"/>
          </w:tcPr>
          <w:p>
            <w:pPr>
              <w:jc w:val="right"/>
              <w:spacing w:after="0"/>
              <w:rPr>
                <w:sz w:val="20"/>
                <w:szCs w:val="20"/>
                <w:color w:val="auto"/>
              </w:rPr>
            </w:pPr>
            <w:r>
              <w:rPr>
                <w:rFonts w:ascii="Arial" w:cs="Arial" w:eastAsia="Arial" w:hAnsi="Arial"/>
                <w:sz w:val="22"/>
                <w:szCs w:val="22"/>
                <w:color w:val="auto"/>
              </w:rPr>
              <w:t>0.4</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9"/>
        </w:trPr>
        <w:tc>
          <w:tcPr>
            <w:tcW w:w="7920" w:type="dxa"/>
            <w:vAlign w:val="bottom"/>
          </w:tcPr>
          <w:p>
            <w:pPr>
              <w:spacing w:after="0"/>
              <w:rPr>
                <w:sz w:val="20"/>
                <w:szCs w:val="20"/>
                <w:color w:val="auto"/>
              </w:rPr>
            </w:pPr>
            <w:r>
              <w:rPr>
                <w:rFonts w:ascii="Arial" w:cs="Arial" w:eastAsia="Arial" w:hAnsi="Arial"/>
                <w:sz w:val="22"/>
                <w:szCs w:val="22"/>
                <w:color w:val="auto"/>
              </w:rPr>
              <w:t>Permanent differences</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0.0 %</w:t>
            </w:r>
          </w:p>
        </w:tc>
      </w:tr>
      <w:tr>
        <w:trPr>
          <w:trHeight w:val="309"/>
        </w:trPr>
        <w:tc>
          <w:tcPr>
            <w:tcW w:w="7920" w:type="dxa"/>
            <w:vAlign w:val="bottom"/>
          </w:tcPr>
          <w:p>
            <w:pPr>
              <w:spacing w:after="0"/>
              <w:rPr>
                <w:sz w:val="20"/>
                <w:szCs w:val="20"/>
                <w:color w:val="auto"/>
              </w:rPr>
            </w:pPr>
            <w:r>
              <w:rPr>
                <w:rFonts w:ascii="Arial" w:cs="Arial" w:eastAsia="Arial" w:hAnsi="Arial"/>
                <w:sz w:val="22"/>
                <w:szCs w:val="22"/>
                <w:color w:val="auto"/>
              </w:rPr>
              <w:t>Stock compensation</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(0.9)%</w:t>
            </w:r>
          </w:p>
        </w:tc>
      </w:tr>
      <w:tr>
        <w:trPr>
          <w:trHeight w:val="309"/>
        </w:trPr>
        <w:tc>
          <w:tcPr>
            <w:tcW w:w="7920" w:type="dxa"/>
            <w:vAlign w:val="bottom"/>
          </w:tcPr>
          <w:p>
            <w:pPr>
              <w:spacing w:after="0"/>
              <w:rPr>
                <w:sz w:val="20"/>
                <w:szCs w:val="20"/>
                <w:color w:val="auto"/>
              </w:rPr>
            </w:pPr>
            <w:r>
              <w:rPr>
                <w:rFonts w:ascii="Arial" w:cs="Arial" w:eastAsia="Arial" w:hAnsi="Arial"/>
                <w:sz w:val="22"/>
                <w:szCs w:val="22"/>
                <w:color w:val="auto"/>
              </w:rPr>
              <w:t>Research and development credits</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3.7 %</w:t>
            </w:r>
          </w:p>
        </w:tc>
      </w:tr>
      <w:tr>
        <w:trPr>
          <w:trHeight w:val="309"/>
        </w:trPr>
        <w:tc>
          <w:tcPr>
            <w:tcW w:w="7920" w:type="dxa"/>
            <w:vAlign w:val="bottom"/>
          </w:tcPr>
          <w:p>
            <w:pPr>
              <w:spacing w:after="0"/>
              <w:rPr>
                <w:sz w:val="20"/>
                <w:szCs w:val="20"/>
                <w:color w:val="auto"/>
              </w:rPr>
            </w:pPr>
            <w:r>
              <w:rPr>
                <w:rFonts w:ascii="Arial" w:cs="Arial" w:eastAsia="Arial" w:hAnsi="Arial"/>
                <w:sz w:val="22"/>
                <w:szCs w:val="22"/>
                <w:color w:val="auto"/>
              </w:rPr>
              <w:t>Change in valuation allowance</w:t>
            </w:r>
          </w:p>
        </w:tc>
        <w:tc>
          <w:tcPr>
            <w:tcW w:w="2260" w:type="dxa"/>
            <w:vAlign w:val="bottom"/>
            <w:gridSpan w:val="2"/>
          </w:tcPr>
          <w:p>
            <w:pPr>
              <w:jc w:val="right"/>
              <w:spacing w:after="0"/>
              <w:rPr>
                <w:sz w:val="20"/>
                <w:szCs w:val="20"/>
                <w:color w:val="auto"/>
              </w:rPr>
            </w:pPr>
            <w:r>
              <w:rPr>
                <w:rFonts w:ascii="Arial" w:cs="Arial" w:eastAsia="Arial" w:hAnsi="Arial"/>
                <w:sz w:val="22"/>
                <w:szCs w:val="22"/>
                <w:color w:val="auto"/>
              </w:rPr>
              <w:t>(24.2)%</w:t>
            </w:r>
          </w:p>
        </w:tc>
      </w:tr>
      <w:tr>
        <w:trPr>
          <w:trHeight w:val="311"/>
        </w:trPr>
        <w:tc>
          <w:tcPr>
            <w:tcW w:w="7920" w:type="dxa"/>
            <w:vAlign w:val="bottom"/>
          </w:tcPr>
          <w:p>
            <w:pPr>
              <w:spacing w:after="0"/>
              <w:rPr>
                <w:sz w:val="20"/>
                <w:szCs w:val="20"/>
                <w:color w:val="auto"/>
              </w:rPr>
            </w:pPr>
            <w:r>
              <w:rPr>
                <w:rFonts w:ascii="Arial" w:cs="Arial" w:eastAsia="Arial" w:hAnsi="Arial"/>
                <w:sz w:val="22"/>
                <w:szCs w:val="22"/>
                <w:color w:val="auto"/>
              </w:rPr>
              <w:t>Other</w:t>
            </w: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0.0 %</w:t>
            </w:r>
          </w:p>
        </w:tc>
      </w:tr>
      <w:tr>
        <w:trPr>
          <w:trHeight w:val="269"/>
        </w:trPr>
        <w:tc>
          <w:tcPr>
            <w:tcW w:w="7920" w:type="dxa"/>
            <w:vAlign w:val="bottom"/>
          </w:tcPr>
          <w:p>
            <w:pPr>
              <w:spacing w:after="0"/>
              <w:rPr>
                <w:sz w:val="20"/>
                <w:szCs w:val="20"/>
                <w:color w:val="auto"/>
              </w:rPr>
            </w:pPr>
            <w:r>
              <w:rPr>
                <w:rFonts w:ascii="Arial" w:cs="Arial" w:eastAsia="Arial" w:hAnsi="Arial"/>
                <w:sz w:val="22"/>
                <w:szCs w:val="22"/>
                <w:color w:val="auto"/>
              </w:rPr>
              <w:t>Effective income tax rate</w:t>
            </w: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0.0 %</w:t>
            </w:r>
          </w:p>
        </w:tc>
      </w:tr>
      <w:tr>
        <w:trPr>
          <w:trHeight w:val="20"/>
        </w:trPr>
        <w:tc>
          <w:tcPr>
            <w:tcW w:w="79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right="780"/>
        <w:spacing w:after="0" w:line="271" w:lineRule="auto"/>
        <w:rPr>
          <w:sz w:val="20"/>
          <w:szCs w:val="20"/>
          <w:color w:val="auto"/>
        </w:rPr>
      </w:pPr>
      <w:r>
        <w:rPr>
          <w:rFonts w:ascii="Arial" w:cs="Arial" w:eastAsia="Arial" w:hAnsi="Arial"/>
          <w:sz w:val="22"/>
          <w:szCs w:val="22"/>
          <w:color w:val="auto"/>
        </w:rPr>
        <w:t>The tax effects of temporary differences that gave rise to significant portions of the deferred tax assets were as follows: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7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22"/>
                <w:szCs w:val="22"/>
                <w:color w:val="auto"/>
                <w:w w:val="87"/>
              </w:rPr>
              <w:t>Year ended December 31,</w:t>
            </w:r>
          </w:p>
        </w:tc>
      </w:tr>
      <w:tr>
        <w:trPr>
          <w:trHeight w:val="274"/>
        </w:trPr>
        <w:tc>
          <w:tcPr>
            <w:tcW w:w="76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77"/>
        </w:trPr>
        <w:tc>
          <w:tcPr>
            <w:tcW w:w="7620" w:type="dxa"/>
            <w:vAlign w:val="bottom"/>
          </w:tcPr>
          <w:p>
            <w:pPr>
              <w:spacing w:after="0"/>
              <w:rPr>
                <w:sz w:val="20"/>
                <w:szCs w:val="20"/>
                <w:color w:val="auto"/>
              </w:rPr>
            </w:pPr>
            <w:r>
              <w:rPr>
                <w:rFonts w:ascii="Arial" w:cs="Arial" w:eastAsia="Arial" w:hAnsi="Arial"/>
                <w:sz w:val="22"/>
                <w:szCs w:val="22"/>
                <w:color w:val="auto"/>
              </w:rPr>
              <w:t>Deferred tax assets (liabilities):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9"/>
        </w:trPr>
        <w:tc>
          <w:tcPr>
            <w:tcW w:w="7620" w:type="dxa"/>
            <w:vAlign w:val="bottom"/>
          </w:tcPr>
          <w:p>
            <w:pPr>
              <w:ind w:left="240"/>
              <w:spacing w:after="0"/>
              <w:rPr>
                <w:sz w:val="20"/>
                <w:szCs w:val="20"/>
                <w:color w:val="auto"/>
              </w:rPr>
            </w:pPr>
            <w:r>
              <w:rPr>
                <w:rFonts w:ascii="Arial" w:cs="Arial" w:eastAsia="Arial" w:hAnsi="Arial"/>
                <w:sz w:val="22"/>
                <w:szCs w:val="22"/>
                <w:color w:val="auto"/>
              </w:rPr>
              <w:t>Net operating loss carryforwards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81,359</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78,879</w:t>
            </w:r>
          </w:p>
        </w:tc>
      </w:tr>
      <w:tr>
        <w:trPr>
          <w:trHeight w:val="309"/>
        </w:trPr>
        <w:tc>
          <w:tcPr>
            <w:tcW w:w="7620" w:type="dxa"/>
            <w:vAlign w:val="bottom"/>
          </w:tcPr>
          <w:p>
            <w:pPr>
              <w:ind w:left="240"/>
              <w:spacing w:after="0"/>
              <w:rPr>
                <w:sz w:val="20"/>
                <w:szCs w:val="20"/>
                <w:color w:val="auto"/>
              </w:rPr>
            </w:pPr>
            <w:r>
              <w:rPr>
                <w:rFonts w:ascii="Arial" w:cs="Arial" w:eastAsia="Arial" w:hAnsi="Arial"/>
                <w:sz w:val="22"/>
                <w:szCs w:val="22"/>
                <w:color w:val="auto"/>
              </w:rPr>
              <w:t>Research and development tax credits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14,611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13,123</w:t>
            </w:r>
          </w:p>
        </w:tc>
      </w:tr>
      <w:tr>
        <w:trPr>
          <w:trHeight w:val="309"/>
        </w:trPr>
        <w:tc>
          <w:tcPr>
            <w:tcW w:w="7620" w:type="dxa"/>
            <w:vAlign w:val="bottom"/>
          </w:tcPr>
          <w:p>
            <w:pPr>
              <w:ind w:left="240"/>
              <w:spacing w:after="0"/>
              <w:rPr>
                <w:sz w:val="20"/>
                <w:szCs w:val="20"/>
                <w:color w:val="auto"/>
              </w:rPr>
            </w:pPr>
            <w:r>
              <w:rPr>
                <w:rFonts w:ascii="Arial" w:cs="Arial" w:eastAsia="Arial" w:hAnsi="Arial"/>
                <w:sz w:val="22"/>
                <w:szCs w:val="22"/>
                <w:color w:val="auto"/>
              </w:rPr>
              <w:t>Capitalized R&amp;D</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26,181</w:t>
            </w:r>
          </w:p>
        </w:tc>
      </w:tr>
      <w:tr>
        <w:trPr>
          <w:trHeight w:val="309"/>
        </w:trPr>
        <w:tc>
          <w:tcPr>
            <w:tcW w:w="7620" w:type="dxa"/>
            <w:vAlign w:val="bottom"/>
          </w:tcPr>
          <w:p>
            <w:pPr>
              <w:ind w:left="240"/>
              <w:spacing w:after="0"/>
              <w:rPr>
                <w:sz w:val="20"/>
                <w:szCs w:val="20"/>
                <w:color w:val="auto"/>
              </w:rPr>
            </w:pPr>
            <w:r>
              <w:rPr>
                <w:rFonts w:ascii="Arial" w:cs="Arial" w:eastAsia="Arial" w:hAnsi="Arial"/>
                <w:sz w:val="22"/>
                <w:szCs w:val="22"/>
                <w:color w:val="auto"/>
              </w:rPr>
              <w:t>Operating lease liabilities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5,152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5,498</w:t>
            </w:r>
          </w:p>
        </w:tc>
      </w:tr>
      <w:tr>
        <w:trPr>
          <w:trHeight w:val="309"/>
        </w:trPr>
        <w:tc>
          <w:tcPr>
            <w:tcW w:w="7620" w:type="dxa"/>
            <w:vAlign w:val="bottom"/>
          </w:tcPr>
          <w:p>
            <w:pPr>
              <w:ind w:left="240"/>
              <w:spacing w:after="0"/>
              <w:rPr>
                <w:sz w:val="20"/>
                <w:szCs w:val="20"/>
                <w:color w:val="auto"/>
              </w:rPr>
            </w:pPr>
            <w:r>
              <w:rPr>
                <w:rFonts w:ascii="Arial" w:cs="Arial" w:eastAsia="Arial" w:hAnsi="Arial"/>
                <w:sz w:val="22"/>
                <w:szCs w:val="22"/>
                <w:color w:val="auto"/>
              </w:rPr>
              <w:t>Accruals and other</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744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826</w:t>
            </w:r>
          </w:p>
        </w:tc>
      </w:tr>
      <w:tr>
        <w:trPr>
          <w:trHeight w:val="309"/>
        </w:trPr>
        <w:tc>
          <w:tcPr>
            <w:tcW w:w="7620" w:type="dxa"/>
            <w:vAlign w:val="bottom"/>
          </w:tcPr>
          <w:p>
            <w:pPr>
              <w:ind w:left="240"/>
              <w:spacing w:after="0"/>
              <w:rPr>
                <w:sz w:val="20"/>
                <w:szCs w:val="20"/>
                <w:color w:val="auto"/>
              </w:rPr>
            </w:pPr>
            <w:r>
              <w:rPr>
                <w:rFonts w:ascii="Arial" w:cs="Arial" w:eastAsia="Arial" w:hAnsi="Arial"/>
                <w:sz w:val="22"/>
                <w:szCs w:val="22"/>
                <w:color w:val="auto"/>
              </w:rPr>
              <w:t>Net fixed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11"/>
        </w:trPr>
        <w:tc>
          <w:tcPr>
            <w:tcW w:w="7620" w:type="dxa"/>
            <w:vAlign w:val="bottom"/>
          </w:tcPr>
          <w:p>
            <w:pPr>
              <w:ind w:left="240"/>
              <w:spacing w:after="0"/>
              <w:rPr>
                <w:sz w:val="20"/>
                <w:szCs w:val="20"/>
                <w:color w:val="auto"/>
              </w:rPr>
            </w:pPr>
            <w:r>
              <w:rPr>
                <w:rFonts w:ascii="Arial" w:cs="Arial" w:eastAsia="Arial" w:hAnsi="Arial"/>
                <w:sz w:val="22"/>
                <w:szCs w:val="22"/>
                <w:color w:val="auto"/>
              </w:rPr>
              <w:t>Stock-based compensation</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7,285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7,723</w:t>
            </w:r>
          </w:p>
        </w:tc>
      </w:tr>
      <w:tr>
        <w:trPr>
          <w:trHeight w:val="287"/>
        </w:trPr>
        <w:tc>
          <w:tcPr>
            <w:tcW w:w="7620" w:type="dxa"/>
            <w:vAlign w:val="bottom"/>
          </w:tcPr>
          <w:p>
            <w:pPr>
              <w:spacing w:after="0"/>
              <w:rPr>
                <w:sz w:val="20"/>
                <w:szCs w:val="20"/>
                <w:color w:val="auto"/>
              </w:rPr>
            </w:pPr>
            <w:r>
              <w:rPr>
                <w:rFonts w:ascii="Arial" w:cs="Arial" w:eastAsia="Arial" w:hAnsi="Arial"/>
                <w:sz w:val="22"/>
                <w:szCs w:val="22"/>
                <w:color w:val="auto"/>
              </w:rPr>
              <w:t>Total deferred tax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126,690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132,230</w:t>
            </w:r>
          </w:p>
        </w:tc>
      </w:tr>
      <w:tr>
        <w:trPr>
          <w:trHeight w:val="311"/>
        </w:trPr>
        <w:tc>
          <w:tcPr>
            <w:tcW w:w="7620" w:type="dxa"/>
            <w:vAlign w:val="bottom"/>
          </w:tcPr>
          <w:p>
            <w:pPr>
              <w:spacing w:after="0"/>
              <w:rPr>
                <w:sz w:val="20"/>
                <w:szCs w:val="20"/>
                <w:color w:val="auto"/>
              </w:rPr>
            </w:pPr>
            <w:r>
              <w:rPr>
                <w:rFonts w:ascii="Arial" w:cs="Arial" w:eastAsia="Arial" w:hAnsi="Arial"/>
                <w:sz w:val="22"/>
                <w:szCs w:val="22"/>
                <w:color w:val="auto"/>
              </w:rPr>
              <w:t>Valuation Allowance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(124,223)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(127,585)</w:t>
            </w:r>
          </w:p>
        </w:tc>
      </w:tr>
      <w:tr>
        <w:trPr>
          <w:trHeight w:val="287"/>
        </w:trPr>
        <w:tc>
          <w:tcPr>
            <w:tcW w:w="7620" w:type="dxa"/>
            <w:vAlign w:val="bottom"/>
          </w:tcPr>
          <w:p>
            <w:pPr>
              <w:spacing w:after="0"/>
              <w:rPr>
                <w:sz w:val="20"/>
                <w:szCs w:val="20"/>
                <w:color w:val="auto"/>
              </w:rPr>
            </w:pPr>
            <w:r>
              <w:rPr>
                <w:rFonts w:ascii="Arial" w:cs="Arial" w:eastAsia="Arial" w:hAnsi="Arial"/>
                <w:sz w:val="22"/>
                <w:szCs w:val="22"/>
                <w:color w:val="auto"/>
              </w:rPr>
              <w:t>Subtotal</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2,467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4,645</w:t>
            </w:r>
          </w:p>
        </w:tc>
      </w:tr>
      <w:tr>
        <w:trPr>
          <w:trHeight w:val="309"/>
        </w:trPr>
        <w:tc>
          <w:tcPr>
            <w:tcW w:w="7620" w:type="dxa"/>
            <w:vAlign w:val="bottom"/>
          </w:tcPr>
          <w:p>
            <w:pPr>
              <w:ind w:left="240"/>
              <w:spacing w:after="0"/>
              <w:rPr>
                <w:sz w:val="20"/>
                <w:szCs w:val="20"/>
                <w:color w:val="auto"/>
              </w:rPr>
            </w:pPr>
            <w:r>
              <w:rPr>
                <w:rFonts w:ascii="Arial" w:cs="Arial" w:eastAsia="Arial" w:hAnsi="Arial"/>
                <w:sz w:val="22"/>
                <w:szCs w:val="22"/>
                <w:color w:val="auto"/>
              </w:rPr>
              <w:t>Right-of-use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(2,467)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(4,641)</w:t>
            </w:r>
          </w:p>
        </w:tc>
      </w:tr>
      <w:tr>
        <w:trPr>
          <w:trHeight w:val="311"/>
        </w:trPr>
        <w:tc>
          <w:tcPr>
            <w:tcW w:w="7620" w:type="dxa"/>
            <w:vAlign w:val="bottom"/>
          </w:tcPr>
          <w:p>
            <w:pPr>
              <w:ind w:left="240"/>
              <w:spacing w:after="0"/>
              <w:rPr>
                <w:sz w:val="20"/>
                <w:szCs w:val="20"/>
                <w:color w:val="auto"/>
              </w:rPr>
            </w:pPr>
            <w:r>
              <w:rPr>
                <w:rFonts w:ascii="Arial" w:cs="Arial" w:eastAsia="Arial" w:hAnsi="Arial"/>
                <w:sz w:val="22"/>
                <w:szCs w:val="22"/>
                <w:color w:val="auto"/>
              </w:rPr>
              <w:t>Net fixed assets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w:t>
            </w:r>
          </w:p>
        </w:tc>
      </w:tr>
      <w:tr>
        <w:trPr>
          <w:trHeight w:val="269"/>
        </w:trPr>
        <w:tc>
          <w:tcPr>
            <w:tcW w:w="7620" w:type="dxa"/>
            <w:vAlign w:val="bottom"/>
          </w:tcPr>
          <w:p>
            <w:pPr>
              <w:spacing w:after="0"/>
              <w:rPr>
                <w:sz w:val="20"/>
                <w:szCs w:val="20"/>
                <w:color w:val="auto"/>
              </w:rPr>
            </w:pPr>
            <w:r>
              <w:rPr>
                <w:rFonts w:ascii="Arial" w:cs="Arial" w:eastAsia="Arial" w:hAnsi="Arial"/>
                <w:sz w:val="22"/>
                <w:szCs w:val="22"/>
                <w:color w:val="auto"/>
              </w:rPr>
              <w:t>Net deferred tax assets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0"/>
        </w:trPr>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-2774950</wp:posOffset>
            </wp:positionV>
            <wp:extent cx="6559550" cy="2781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9">
                      <a:extLst>
                        <a:ext uri="{28A0092B-C50C-407E-A947-70E740481C1C}"/>
                      </a:extLst>
                    </a:blip>
                    <a:srcRect/>
                    <a:stretch>
                      <a:fillRect/>
                    </a:stretch>
                  </pic:blipFill>
                  <pic:spPr bwMode="auto">
                    <a:xfrm>
                      <a:off x="0" y="0"/>
                      <a:ext cx="6559550" cy="278193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the Company had gross federal net operating loss carryforwards of $321,624, of which</w:t>
      </w:r>
    </w:p>
    <w:p>
      <w:pPr>
        <w:spacing w:after="0" w:line="50" w:lineRule="exact"/>
        <w:rPr>
          <w:sz w:val="20"/>
          <w:szCs w:val="20"/>
          <w:color w:val="auto"/>
        </w:rPr>
      </w:pPr>
    </w:p>
    <w:p>
      <w:pPr>
        <w:ind w:right="140"/>
        <w:spacing w:after="0" w:line="246" w:lineRule="auto"/>
        <w:rPr>
          <w:sz w:val="20"/>
          <w:szCs w:val="20"/>
          <w:color w:val="auto"/>
        </w:rPr>
      </w:pPr>
      <w:r>
        <w:rPr>
          <w:rFonts w:ascii="Arial" w:cs="Arial" w:eastAsia="Arial" w:hAnsi="Arial"/>
          <w:sz w:val="22"/>
          <w:szCs w:val="22"/>
          <w:color w:val="auto"/>
        </w:rPr>
        <w:t>$2,556 begin to expire in 2036 and the remainder do not expire but are subject to 80% limitation. As of December 31, 2025, the Company had state net operating loss carryforwards of $220,719 that begin to expire in 2036. Additionally, the Company had federal research and development tax credit carryforwards of $13,216 that expire at various dates through 2045 and state research and development credit carryforwards of $1,765 that expire at various dates through 2040.</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2025 and 2024. The valuation allowance decreased by $3,362 during the year ended December 31, 2025 primarily as a result of amortization of previously capitalized R&amp;D expenses partially offset by current year net operating loss and federal research and development tax credits.</w:t>
      </w:r>
    </w:p>
    <w:p>
      <w:pPr>
        <w:sectPr>
          <w:pgSz w:w="11880" w:h="15480" w:orient="portrait"/>
          <w:cols w:equalWidth="0" w:num="1">
            <w:col w:w="10300"/>
          </w:cols>
          <w:pgMar w:left="820" w:top="678" w:right="760" w:bottom="0" w:gutter="0" w:footer="0" w:header="0"/>
        </w:sectPr>
      </w:pP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154</w:t>
      </w:r>
    </w:p>
    <w:p>
      <w:pPr>
        <w:sectPr>
          <w:pgSz w:w="11880" w:h="15480" w:orient="portrait"/>
          <w:cols w:equalWidth="0" w:num="1">
            <w:col w:w="10300"/>
          </w:cols>
          <w:pgMar w:left="820" w:top="678" w:right="760" w:bottom="0" w:gutter="0" w:footer="0" w:header="0"/>
          <w:type w:val="continuous"/>
        </w:sectPr>
      </w:pPr>
    </w:p>
    <w:bookmarkStart w:id="158" w:name="page159"/>
    <w:bookmarkEnd w:id="158"/>
    <w:p>
      <w:pPr>
        <w:ind w:right="20"/>
        <w:spacing w:after="0" w:line="273" w:lineRule="auto"/>
        <w:rPr>
          <w:sz w:val="20"/>
          <w:szCs w:val="20"/>
          <w:color w:val="auto"/>
        </w:rPr>
      </w:pPr>
      <w:r>
        <w:rPr>
          <w:rFonts w:ascii="Arial" w:cs="Arial" w:eastAsia="Arial" w:hAnsi="Arial"/>
          <w:sz w:val="20"/>
          <w:szCs w:val="20"/>
          <w:color w:val="auto"/>
        </w:rPr>
        <w:t>Utilization of the net operating loss carryforwards and research and development tax credit carryforwards may be subject to an annual limitation under Section 382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(by value)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89"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Company also has not conducted a study of its research and development credit carryforwards, which may result in an adjustment to research and development credit carryforwards.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 Further, until a study is completed and any limitation is known, no amounts are being presented as an uncertain tax position.</w:t>
      </w:r>
    </w:p>
    <w:p>
      <w:pPr>
        <w:spacing w:after="0" w:line="17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2025 and 2024, the Company had no unrecognized tax benefits.</w:t>
      </w:r>
    </w:p>
    <w:p>
      <w:pPr>
        <w:spacing w:after="0" w:line="206" w:lineRule="exact"/>
        <w:rPr>
          <w:sz w:val="20"/>
          <w:szCs w:val="20"/>
          <w:color w:val="auto"/>
        </w:rPr>
      </w:pPr>
    </w:p>
    <w:p>
      <w:pPr>
        <w:jc w:val="both"/>
        <w:ind w:right="380"/>
        <w:spacing w:after="0" w:line="351" w:lineRule="auto"/>
        <w:rPr>
          <w:sz w:val="20"/>
          <w:szCs w:val="20"/>
          <w:color w:val="auto"/>
        </w:rPr>
      </w:pPr>
      <w:r>
        <w:rPr>
          <w:rFonts w:ascii="Arial" w:cs="Arial" w:eastAsia="Arial" w:hAnsi="Arial"/>
          <w:sz w:val="19"/>
          <w:szCs w:val="19"/>
          <w:color w:val="auto"/>
        </w:rPr>
        <w:t>The Company will recognize interest and penalties related to uncertain tax positions in income tax expense. As of December 31, 2025 and 2024, the Company had no accrued interest or penalties related to uncertain tax positions.</w:t>
      </w:r>
    </w:p>
    <w:p>
      <w:pPr>
        <w:spacing w:after="0" w:line="114"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statute of limitations for assessment by the Internal Revenue Service remains open for all years from 2022 to the present. The Company’s tax attributes related to years prior to 2022 can still be adjusted under audit.</w:t>
      </w:r>
    </w:p>
    <w:p>
      <w:pPr>
        <w:sectPr>
          <w:pgSz w:w="11880" w:h="15480" w:orient="portrait"/>
          <w:cols w:equalWidth="0" w:num="1">
            <w:col w:w="10220"/>
          </w:cols>
          <w:pgMar w:left="820" w:top="67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155</w:t>
      </w:r>
    </w:p>
    <w:p>
      <w:pPr>
        <w:sectPr>
          <w:pgSz w:w="11880" w:h="15480" w:orient="portrait"/>
          <w:cols w:equalWidth="0" w:num="1">
            <w:col w:w="10220"/>
          </w:cols>
          <w:pgMar w:left="820" w:top="678" w:right="840" w:bottom="0" w:gutter="0" w:footer="0" w:header="0"/>
          <w:type w:val="continuous"/>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10. NET INCOME (LOSS) PER SHARE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 (loss) per share</w:t>
      </w:r>
    </w:p>
    <w:p>
      <w:pPr>
        <w:spacing w:after="0" w:line="250"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auto"/>
        </w:rPr>
        <w:t>We compute basic net income (loss) per common share by dividing net income (loss) by the weighted-average number of common shares outstanding. We compute diluted net income (loss) per common share by dividing net income (loss) by the weighted-average number of common shares and dilutive potential common share equivalents then outstanding during the period. Potential common shares consist of shares issuable upon the vesting of restricted stock units and the exercise of stock options (the proceeds of which are then assumed to have been used to repurchase outstanding shares using the treasury stock method). Because the inclusion of potential common shares would be anti-dilutive for periods presenting a net loss, diluted net loss per common share is the same as basic net loss per common share.</w:t>
      </w:r>
    </w:p>
    <w:p>
      <w:pPr>
        <w:spacing w:after="0" w:line="181" w:lineRule="exact"/>
        <w:rPr>
          <w:sz w:val="20"/>
          <w:szCs w:val="20"/>
          <w:color w:val="auto"/>
        </w:rPr>
      </w:pPr>
    </w:p>
    <w:p>
      <w:pPr>
        <w:ind w:right="620"/>
        <w:spacing w:after="0" w:line="308" w:lineRule="auto"/>
        <w:rPr>
          <w:sz w:val="20"/>
          <w:szCs w:val="20"/>
          <w:color w:val="auto"/>
        </w:rPr>
      </w:pPr>
      <w:r>
        <w:rPr>
          <w:rFonts w:ascii="Arial" w:cs="Arial" w:eastAsia="Arial" w:hAnsi="Arial"/>
          <w:sz w:val="20"/>
          <w:szCs w:val="20"/>
          <w:color w:val="auto"/>
        </w:rPr>
        <w:t>The following table summarizes the computation of basic and diluted net income (loss) per share attributable to common shareholders of the Company (in thousands, except share and per share amounts):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92"/>
        </w:trPr>
        <w:tc>
          <w:tcPr>
            <w:tcW w:w="7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22"/>
                <w:szCs w:val="22"/>
                <w:color w:val="auto"/>
              </w:rPr>
              <w:t>December 31</w:t>
            </w:r>
          </w:p>
        </w:tc>
      </w:tr>
      <w:tr>
        <w:trPr>
          <w:trHeight w:val="289"/>
        </w:trPr>
        <w:tc>
          <w:tcPr>
            <w:tcW w:w="7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2024</w:t>
            </w:r>
          </w:p>
        </w:tc>
      </w:tr>
      <w:tr>
        <w:trPr>
          <w:trHeight w:val="287"/>
        </w:trPr>
        <w:tc>
          <w:tcPr>
            <w:tcW w:w="7180" w:type="dxa"/>
            <w:vAlign w:val="bottom"/>
          </w:tcPr>
          <w:p>
            <w:pPr>
              <w:spacing w:after="0"/>
              <w:rPr>
                <w:sz w:val="20"/>
                <w:szCs w:val="20"/>
                <w:color w:val="auto"/>
              </w:rPr>
            </w:pPr>
            <w:r>
              <w:rPr>
                <w:rFonts w:ascii="Arial" w:cs="Arial" w:eastAsia="Arial" w:hAnsi="Arial"/>
                <w:sz w:val="22"/>
                <w:szCs w:val="22"/>
                <w:color w:val="auto"/>
              </w:rPr>
              <w:t>Net income (loss) attributable to common stockholders</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22,367</w:t>
            </w:r>
          </w:p>
        </w:tc>
        <w:tc>
          <w:tcPr>
            <w:tcW w:w="36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(69,676)</w:t>
            </w:r>
          </w:p>
        </w:tc>
      </w:tr>
      <w:tr>
        <w:trPr>
          <w:trHeight w:val="617"/>
        </w:trPr>
        <w:tc>
          <w:tcPr>
            <w:tcW w:w="7180" w:type="dxa"/>
            <w:vAlign w:val="bottom"/>
          </w:tcPr>
          <w:p>
            <w:pPr>
              <w:spacing w:after="0"/>
              <w:rPr>
                <w:sz w:val="20"/>
                <w:szCs w:val="20"/>
                <w:color w:val="auto"/>
              </w:rPr>
            </w:pPr>
            <w:r>
              <w:rPr>
                <w:rFonts w:ascii="Arial" w:cs="Arial" w:eastAsia="Arial" w:hAnsi="Arial"/>
                <w:sz w:val="22"/>
                <w:szCs w:val="22"/>
                <w:color w:val="auto"/>
              </w:rPr>
              <w:t>Weighted average common shares outstanding - basic</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w w:val="98"/>
              </w:rPr>
              <w:t>56,868,111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w w:val="96"/>
              </w:rPr>
              <w:t>55,028,371</w:t>
            </w:r>
          </w:p>
        </w:tc>
      </w:tr>
      <w:tr>
        <w:trPr>
          <w:trHeight w:val="309"/>
        </w:trPr>
        <w:tc>
          <w:tcPr>
            <w:tcW w:w="7180" w:type="dxa"/>
            <w:vAlign w:val="bottom"/>
          </w:tcPr>
          <w:p>
            <w:pPr>
              <w:spacing w:after="0"/>
              <w:rPr>
                <w:sz w:val="20"/>
                <w:szCs w:val="20"/>
                <w:color w:val="auto"/>
              </w:rPr>
            </w:pPr>
            <w:r>
              <w:rPr>
                <w:rFonts w:ascii="Arial" w:cs="Arial" w:eastAsia="Arial" w:hAnsi="Arial"/>
                <w:sz w:val="22"/>
                <w:szCs w:val="22"/>
                <w:color w:val="auto"/>
              </w:rPr>
              <w:t>Effect of dilutive securities: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9"/>
        </w:trPr>
        <w:tc>
          <w:tcPr>
            <w:tcW w:w="7180" w:type="dxa"/>
            <w:vAlign w:val="bottom"/>
          </w:tcPr>
          <w:p>
            <w:pPr>
              <w:ind w:left="120"/>
              <w:spacing w:after="0"/>
              <w:rPr>
                <w:sz w:val="20"/>
                <w:szCs w:val="20"/>
                <w:color w:val="auto"/>
              </w:rPr>
            </w:pPr>
            <w:r>
              <w:rPr>
                <w:rFonts w:ascii="Arial" w:cs="Arial" w:eastAsia="Arial" w:hAnsi="Arial"/>
                <w:sz w:val="22"/>
                <w:szCs w:val="22"/>
                <w:color w:val="auto"/>
              </w:rPr>
              <w:t>Options to purchase common stock</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244,635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11"/>
        </w:trPr>
        <w:tc>
          <w:tcPr>
            <w:tcW w:w="7180" w:type="dxa"/>
            <w:vAlign w:val="bottom"/>
          </w:tcPr>
          <w:p>
            <w:pPr>
              <w:ind w:left="120"/>
              <w:spacing w:after="0"/>
              <w:rPr>
                <w:sz w:val="20"/>
                <w:szCs w:val="20"/>
                <w:color w:val="auto"/>
              </w:rPr>
            </w:pPr>
            <w:r>
              <w:rPr>
                <w:rFonts w:ascii="Arial" w:cs="Arial" w:eastAsia="Arial" w:hAnsi="Arial"/>
                <w:sz w:val="22"/>
                <w:szCs w:val="22"/>
                <w:color w:val="auto"/>
              </w:rPr>
              <w:t>Restricted stock units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450,000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69"/>
        </w:trPr>
        <w:tc>
          <w:tcPr>
            <w:tcW w:w="7180" w:type="dxa"/>
            <w:vAlign w:val="bottom"/>
          </w:tcPr>
          <w:p>
            <w:pPr>
              <w:spacing w:after="0"/>
              <w:rPr>
                <w:sz w:val="20"/>
                <w:szCs w:val="20"/>
                <w:color w:val="auto"/>
              </w:rPr>
            </w:pPr>
            <w:r>
              <w:rPr>
                <w:rFonts w:ascii="Arial" w:cs="Arial" w:eastAsia="Arial" w:hAnsi="Arial"/>
                <w:sz w:val="22"/>
                <w:szCs w:val="22"/>
                <w:color w:val="auto"/>
              </w:rPr>
              <w:t>Weighted average common shares outstanding - diluted</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57,562,746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55,028,371</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75"/>
        </w:trPr>
        <w:tc>
          <w:tcPr>
            <w:tcW w:w="7180" w:type="dxa"/>
            <w:vAlign w:val="bottom"/>
          </w:tcPr>
          <w:p>
            <w:pPr>
              <w:spacing w:after="0"/>
              <w:rPr>
                <w:sz w:val="20"/>
                <w:szCs w:val="20"/>
                <w:color w:val="auto"/>
              </w:rPr>
            </w:pPr>
            <w:r>
              <w:rPr>
                <w:rFonts w:ascii="Arial" w:cs="Arial" w:eastAsia="Arial" w:hAnsi="Arial"/>
                <w:sz w:val="22"/>
                <w:szCs w:val="22"/>
                <w:color w:val="auto"/>
              </w:rPr>
              <w:t>Net income (loss) per share - basic</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0.39</w:t>
            </w:r>
          </w:p>
        </w:tc>
        <w:tc>
          <w:tcPr>
            <w:tcW w:w="36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09"/>
        </w:trPr>
        <w:tc>
          <w:tcPr>
            <w:tcW w:w="7180" w:type="dxa"/>
            <w:vAlign w:val="bottom"/>
          </w:tcPr>
          <w:p>
            <w:pPr>
              <w:spacing w:after="0"/>
              <w:rPr>
                <w:sz w:val="20"/>
                <w:szCs w:val="20"/>
                <w:color w:val="auto"/>
              </w:rPr>
            </w:pPr>
            <w:r>
              <w:rPr>
                <w:rFonts w:ascii="Arial" w:cs="Arial" w:eastAsia="Arial" w:hAnsi="Arial"/>
                <w:sz w:val="22"/>
                <w:szCs w:val="22"/>
                <w:color w:val="auto"/>
              </w:rPr>
              <w:t>Net income (loss) per share - diluted</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0.39</w:t>
            </w:r>
          </w:p>
        </w:tc>
        <w:tc>
          <w:tcPr>
            <w:tcW w:w="36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-1964690</wp:posOffset>
            </wp:positionV>
            <wp:extent cx="6522085" cy="1985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0">
                      <a:extLst>
                        <a:ext uri="{28A0092B-C50C-407E-A947-70E740481C1C}"/>
                      </a:extLst>
                    </a:blip>
                    <a:srcRect/>
                    <a:stretch>
                      <a:fillRect/>
                    </a:stretch>
                  </pic:blipFill>
                  <pic:spPr bwMode="auto">
                    <a:xfrm>
                      <a:off x="0" y="0"/>
                      <a:ext cx="6522085" cy="1985645"/>
                    </a:xfrm>
                    <a:prstGeom prst="rect">
                      <a:avLst/>
                    </a:prstGeom>
                    <a:noFill/>
                  </pic:spPr>
                </pic:pic>
              </a:graphicData>
            </a:graphic>
          </wp:anchor>
        </w:drawing>
      </w:r>
    </w:p>
    <w:p>
      <w:pPr>
        <w:spacing w:after="0" w:line="258" w:lineRule="exact"/>
        <w:rPr>
          <w:sz w:val="20"/>
          <w:szCs w:val="20"/>
          <w:color w:val="auto"/>
        </w:rPr>
      </w:pPr>
    </w:p>
    <w:p>
      <w:pPr>
        <w:ind w:right="80"/>
        <w:spacing w:after="0" w:line="258" w:lineRule="auto"/>
        <w:rPr>
          <w:sz w:val="20"/>
          <w:szCs w:val="20"/>
          <w:color w:val="auto"/>
        </w:rPr>
      </w:pPr>
      <w:r>
        <w:rPr>
          <w:rFonts w:ascii="Arial" w:cs="Arial" w:eastAsia="Arial" w:hAnsi="Arial"/>
          <w:sz w:val="22"/>
          <w:szCs w:val="22"/>
          <w:color w:val="auto"/>
        </w:rPr>
        <w:t>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44" w:lineRule="exact"/>
        <w:rPr>
          <w:sz w:val="20"/>
          <w:szCs w:val="20"/>
          <w:color w:val="auto"/>
        </w:rPr>
      </w:pPr>
    </w:p>
    <w:tbl>
      <w:tblPr>
        <w:tblLayout w:type="fixed"/>
        <w:tblInd w:w="60" w:type="dxa"/>
        <w:tblCellMar>
          <w:top w:w="0" w:type="dxa"/>
          <w:left w:w="0" w:type="dxa"/>
          <w:bottom w:w="0" w:type="dxa"/>
          <w:right w:w="0" w:type="dxa"/>
        </w:tblCellMar>
      </w:tblPr>
      <w:tr>
        <w:trPr>
          <w:trHeight w:val="282"/>
        </w:trPr>
        <w:tc>
          <w:tcPr>
            <w:tcW w:w="7560" w:type="dxa"/>
            <w:vAlign w:val="bottom"/>
          </w:tcPr>
          <w:p>
            <w:pPr>
              <w:spacing w:after="0"/>
              <w:rPr>
                <w:sz w:val="24"/>
                <w:szCs w:val="24"/>
                <w:color w:val="auto"/>
              </w:rPr>
            </w:pPr>
          </w:p>
        </w:tc>
        <w:tc>
          <w:tcPr>
            <w:tcW w:w="262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22"/>
                <w:szCs w:val="22"/>
                <w:color w:val="auto"/>
              </w:rPr>
              <w:t>December 31,</w:t>
            </w:r>
          </w:p>
        </w:tc>
      </w:tr>
      <w:tr>
        <w:trPr>
          <w:trHeight w:val="289"/>
        </w:trPr>
        <w:tc>
          <w:tcPr>
            <w:tcW w:w="7560" w:type="dxa"/>
            <w:vAlign w:val="bottom"/>
          </w:tcPr>
          <w:p>
            <w:pPr>
              <w:spacing w:after="0"/>
              <w:rPr>
                <w:sz w:val="24"/>
                <w:szCs w:val="24"/>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7"/>
        </w:trPr>
        <w:tc>
          <w:tcPr>
            <w:tcW w:w="7560" w:type="dxa"/>
            <w:vAlign w:val="bottom"/>
          </w:tcPr>
          <w:p>
            <w:pPr>
              <w:spacing w:after="0"/>
              <w:rPr>
                <w:sz w:val="20"/>
                <w:szCs w:val="20"/>
                <w:color w:val="auto"/>
              </w:rPr>
            </w:pPr>
            <w:r>
              <w:rPr>
                <w:rFonts w:ascii="Arial" w:cs="Arial" w:eastAsia="Arial" w:hAnsi="Arial"/>
                <w:sz w:val="22"/>
                <w:szCs w:val="22"/>
                <w:color w:val="auto"/>
              </w:rPr>
              <w:t>Options to purchase common stock</w:t>
            </w:r>
          </w:p>
        </w:tc>
        <w:tc>
          <w:tcPr>
            <w:tcW w:w="1280" w:type="dxa"/>
            <w:vAlign w:val="bottom"/>
          </w:tcPr>
          <w:p>
            <w:pPr>
              <w:jc w:val="right"/>
              <w:spacing w:after="0"/>
              <w:rPr>
                <w:sz w:val="20"/>
                <w:szCs w:val="20"/>
                <w:color w:val="auto"/>
              </w:rPr>
            </w:pPr>
            <w:r>
              <w:rPr>
                <w:rFonts w:ascii="Arial" w:cs="Arial" w:eastAsia="Arial" w:hAnsi="Arial"/>
                <w:sz w:val="22"/>
                <w:szCs w:val="22"/>
                <w:color w:val="auto"/>
              </w:rPr>
              <w:t>9,405,170</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9,434,742</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Unvested restricted stock</w:t>
            </w: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540,000</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Shares issuable under employee stock purchase plan</w:t>
            </w: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27,518</w:t>
            </w:r>
          </w:p>
        </w:tc>
      </w:tr>
      <w:tr>
        <w:trPr>
          <w:trHeight w:val="311"/>
        </w:trPr>
        <w:tc>
          <w:tcPr>
            <w:tcW w:w="7560" w:type="dxa"/>
            <w:vAlign w:val="bottom"/>
          </w:tcPr>
          <w:p>
            <w:pPr>
              <w:spacing w:after="0"/>
              <w:rPr>
                <w:sz w:val="20"/>
                <w:szCs w:val="20"/>
                <w:color w:val="auto"/>
              </w:rPr>
            </w:pPr>
            <w:r>
              <w:rPr>
                <w:rFonts w:ascii="Arial" w:cs="Arial" w:eastAsia="Arial" w:hAnsi="Arial"/>
                <w:sz w:val="22"/>
                <w:szCs w:val="22"/>
                <w:color w:val="auto"/>
              </w:rPr>
              <w:t>Warrants to purchase shares of common stock</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10,757</w:t>
            </w:r>
          </w:p>
        </w:tc>
        <w:tc>
          <w:tcPr>
            <w:tcW w:w="6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10,757</w:t>
            </w:r>
          </w:p>
        </w:tc>
      </w:tr>
      <w:tr>
        <w:trPr>
          <w:trHeight w:val="269"/>
        </w:trPr>
        <w:tc>
          <w:tcPr>
            <w:tcW w:w="75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9,415,927</w:t>
            </w:r>
          </w:p>
        </w:tc>
        <w:tc>
          <w:tcPr>
            <w:tcW w:w="1340" w:type="dxa"/>
            <w:vAlign w:val="bottom"/>
            <w:gridSpan w:val="2"/>
          </w:tcPr>
          <w:p>
            <w:pPr>
              <w:jc w:val="right"/>
              <w:spacing w:after="0"/>
              <w:rPr>
                <w:sz w:val="20"/>
                <w:szCs w:val="20"/>
                <w:color w:val="auto"/>
              </w:rPr>
            </w:pPr>
            <w:r>
              <w:rPr>
                <w:rFonts w:ascii="Arial" w:cs="Arial" w:eastAsia="Arial" w:hAnsi="Arial"/>
                <w:sz w:val="22"/>
                <w:szCs w:val="22"/>
                <w:color w:val="auto"/>
              </w:rPr>
              <w:t>10,013,017</w:t>
            </w:r>
          </w:p>
        </w:tc>
      </w:tr>
      <w:tr>
        <w:trPr>
          <w:trHeight w:val="20"/>
        </w:trPr>
        <w:tc>
          <w:tcPr>
            <w:tcW w:w="75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-1010920</wp:posOffset>
            </wp:positionV>
            <wp:extent cx="6522085" cy="1017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1">
                      <a:extLst>
                        <a:ext uri="{28A0092B-C50C-407E-A947-70E740481C1C}"/>
                      </a:extLst>
                    </a:blip>
                    <a:srcRect/>
                    <a:stretch>
                      <a:fillRect/>
                    </a:stretch>
                  </pic:blipFill>
                  <pic:spPr bwMode="auto">
                    <a:xfrm>
                      <a:off x="0" y="0"/>
                      <a:ext cx="6522085" cy="10179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LEASES</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Company has historically entered into lease arrangements for its facilities. As of December 31, 2025, the Company had two operating leases with required future minimum payments. In applying the transition guidance under ASC 842, the Company determined the classification of these leases to be operating leases and recorded right-of-use assets and lease liabilities as of the effective dates. The Company’s leases generally do not include termination or purchase options.</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156</w:t>
      </w:r>
    </w:p>
    <w:p>
      <w:pPr>
        <w:sectPr>
          <w:pgSz w:w="11880" w:h="15480" w:orient="portrait"/>
          <w:cols w:equalWidth="0" w:num="1">
            <w:col w:w="10240"/>
          </w:cols>
          <w:pgMar w:left="820" w:top="670" w:right="820" w:bottom="0" w:gutter="0" w:footer="0" w:header="0"/>
          <w:type w:val="continuous"/>
        </w:sectPr>
      </w:pPr>
    </w:p>
    <w:bookmarkStart w:id="160" w:name="page161"/>
    <w:bookmarkEnd w:id="160"/>
    <w:p>
      <w:pPr>
        <w:spacing w:after="0"/>
        <w:rPr>
          <w:sz w:val="20"/>
          <w:szCs w:val="20"/>
          <w:color w:val="auto"/>
        </w:rPr>
      </w:pPr>
      <w:r>
        <w:rPr>
          <w:rFonts w:ascii="Arial" w:cs="Arial" w:eastAsia="Arial" w:hAnsi="Arial"/>
          <w:sz w:val="22"/>
          <w:szCs w:val="22"/>
          <w:b w:val="1"/>
          <w:bCs w:val="1"/>
          <w:i w:val="1"/>
          <w:iCs w:val="1"/>
          <w:color w:val="auto"/>
        </w:rPr>
        <w:t>Operating Leases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In July 2020, the Company entered into a seven-year agreement with an option to extend for five additional years to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lease two floors totaling approximately 25,578 square feet of office space for its principal office, which is located in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Cambridge, MA. The lease on the first floor commenced on August 1, 2020 and the lease on the second floor</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commenced March 9, 2021. The Company recognized the respective lease balances on the consolidated balance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sheets when the lease of each floor commenced. Under the terms of the lease, the Company was required to issue a</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$1,168 letter of credit as security for the lease, which was reduced to $779 in August 2023 pursuant to the terms of the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lease agreement. On December 12, 2022, the Company entered into a sublease for one floor of its Cambridge,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Massachusetts office space. The sublease terminates on August 31, 2028, which is also the date on which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Company's lease terminates. Further, on December 5, 2025, the Company entered into a sublease for the remaining</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floor of its Cambridge, Massachusetts office space. The sublease terminates on August 31, 2028, which is also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date on which the Company's lease terminates. Sublease income is recognized on a straight-line basis over the term of</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the sublease agreement. The Company was not relieved of its primary obligation under the Cambridge office lease as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a result of the subleases. There was no impairment recognized as a result of the sublease executed in December 2022.</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As part of the Company’s evaluation of the December 2025 sublease, it was determined that the estimated</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undiscounted sublease income exceeded the net book value of the related long-term assets, which includes right-of-</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use assets and property and equipment associated with the subleased space. Accordingly, the Company recorded an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impairment charge of $2,025 related to the right-of-use asset and an impairment charge of $580 related to the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associated property and equipment.</w:t>
      </w:r>
    </w:p>
    <w:p>
      <w:pPr>
        <w:spacing w:after="0" w:line="220"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In December 2020, the Company entered into an eleven-year agreement to lease approximately 18,120 square feet of office and laboratory space in New York, NY. The Company has an option to extend the lease for five additional years. The lease commenced August 26, 2021 and the related lease balance was recognized on the consolidated balance sheet. Additionally, on June 19, 2024, the Company entered into a sublease for its office and laboratory space in New York, NY. The sublease terminates on June 30, 2026, with the option to extend to June 30, 2027. Sublease income is recognized on a straight-line basis over the term of the sublease agreement. The Company was not relieved of its primary obligation under the New York lease as a result of the sublease. In December 2025, the subtenant did not exercise its option to the sublease, accordingly it will terminate on June 30, 2026. As part of the Company’s evaluation of the termination of the sublease, it was determined that the undiscounted cash flows projected from an anticipated future sublease exceeded the net book value of the related long-term assets, which includes right-of-use assets and property and equipment associated with the subleased space. Accordingly, the Company recorded an impairment charge of $4,626 related to the right-of-use asset and an impairment charge of $117 related to the associated property and equipment.</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157</w:t>
      </w:r>
    </w:p>
    <w:p>
      <w:pPr>
        <w:sectPr>
          <w:pgSz w:w="11880" w:h="15480" w:orient="portrait"/>
          <w:cols w:equalWidth="0" w:num="1">
            <w:col w:w="10220"/>
          </w:cols>
          <w:pgMar w:left="820" w:top="668" w:right="840" w:bottom="0" w:gutter="0" w:footer="0" w:header="0"/>
          <w:type w:val="continuous"/>
        </w:sectPr>
      </w:pPr>
    </w:p>
    <w:bookmarkStart w:id="161" w:name="page162"/>
    <w:bookmarkEnd w:id="161"/>
    <w:p>
      <w:pPr>
        <w:ind w:right="900"/>
        <w:spacing w:after="0" w:line="330" w:lineRule="auto"/>
        <w:rPr>
          <w:sz w:val="20"/>
          <w:szCs w:val="20"/>
          <w:color w:val="auto"/>
        </w:rPr>
      </w:pPr>
      <w:r>
        <w:rPr>
          <w:rFonts w:ascii="Arial" w:cs="Arial" w:eastAsia="Arial" w:hAnsi="Arial"/>
          <w:sz w:val="19"/>
          <w:szCs w:val="19"/>
          <w:color w:val="auto"/>
        </w:rPr>
        <w:t>The following table contains a summary of the lease costs recognized under ASC 842 and other information pertaining to the Company’s operating lease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-22860</wp:posOffset>
            </wp:positionV>
            <wp:extent cx="6522085" cy="1605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2">
                      <a:extLst>
                        <a:ext uri="{28A0092B-C50C-407E-A947-70E740481C1C}"/>
                      </a:extLst>
                    </a:blip>
                    <a:srcRect/>
                    <a:stretch>
                      <a:fillRect/>
                    </a:stretch>
                  </pic:blipFill>
                  <pic:spPr bwMode="auto">
                    <a:xfrm>
                      <a:off x="0" y="0"/>
                      <a:ext cx="6522085" cy="160591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82"/>
        </w:trPr>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December 31,</w:t>
            </w:r>
          </w:p>
        </w:tc>
      </w:tr>
      <w:tr>
        <w:trPr>
          <w:trHeight w:val="289"/>
        </w:trPr>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73"/>
        </w:trPr>
        <w:tc>
          <w:tcPr>
            <w:tcW w:w="7560" w:type="dxa"/>
            <w:vAlign w:val="bottom"/>
          </w:tcPr>
          <w:p>
            <w:pPr>
              <w:spacing w:after="0"/>
              <w:rPr>
                <w:sz w:val="20"/>
                <w:szCs w:val="20"/>
                <w:color w:val="auto"/>
              </w:rPr>
            </w:pPr>
            <w:r>
              <w:rPr>
                <w:rFonts w:ascii="Arial" w:cs="Arial" w:eastAsia="Arial" w:hAnsi="Arial"/>
                <w:sz w:val="22"/>
                <w:szCs w:val="22"/>
                <w:b w:val="1"/>
                <w:bCs w:val="1"/>
                <w:color w:val="auto"/>
              </w:rPr>
              <w:t>Lease Cost</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22"/>
        </w:trPr>
        <w:tc>
          <w:tcPr>
            <w:tcW w:w="7560" w:type="dxa"/>
            <w:vAlign w:val="bottom"/>
          </w:tcPr>
          <w:p>
            <w:pPr>
              <w:spacing w:after="0"/>
              <w:rPr>
                <w:sz w:val="20"/>
                <w:szCs w:val="20"/>
                <w:color w:val="auto"/>
              </w:rPr>
            </w:pPr>
            <w:r>
              <w:rPr>
                <w:rFonts w:ascii="Arial" w:cs="Arial" w:eastAsia="Arial" w:hAnsi="Arial"/>
                <w:sz w:val="22"/>
                <w:szCs w:val="22"/>
                <w:color w:val="auto"/>
              </w:rPr>
              <w:t>Operating lease cost</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4,129</w:t>
            </w:r>
          </w:p>
        </w:tc>
        <w:tc>
          <w:tcPr>
            <w:tcW w:w="34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4,217</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Short-term lease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Variable lease cost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1,006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915</w:t>
            </w:r>
          </w:p>
        </w:tc>
      </w:tr>
      <w:tr>
        <w:trPr>
          <w:trHeight w:val="311"/>
        </w:trPr>
        <w:tc>
          <w:tcPr>
            <w:tcW w:w="7560" w:type="dxa"/>
            <w:vAlign w:val="bottom"/>
          </w:tcPr>
          <w:p>
            <w:pPr>
              <w:spacing w:after="0"/>
              <w:rPr>
                <w:sz w:val="20"/>
                <w:szCs w:val="20"/>
                <w:color w:val="auto"/>
              </w:rPr>
            </w:pPr>
            <w:r>
              <w:rPr>
                <w:rFonts w:ascii="Arial" w:cs="Arial" w:eastAsia="Arial" w:hAnsi="Arial"/>
                <w:sz w:val="22"/>
                <w:szCs w:val="22"/>
                <w:color w:val="auto"/>
              </w:rPr>
              <w:t>Sublease income</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(4,053)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(3,052)</w:t>
            </w:r>
          </w:p>
        </w:tc>
      </w:tr>
      <w:tr>
        <w:trPr>
          <w:trHeight w:val="269"/>
        </w:trPr>
        <w:tc>
          <w:tcPr>
            <w:tcW w:w="7560" w:type="dxa"/>
            <w:vAlign w:val="bottom"/>
          </w:tcPr>
          <w:p>
            <w:pPr>
              <w:spacing w:after="0"/>
              <w:rPr>
                <w:sz w:val="20"/>
                <w:szCs w:val="20"/>
                <w:color w:val="auto"/>
              </w:rPr>
            </w:pPr>
            <w:r>
              <w:rPr>
                <w:rFonts w:ascii="Arial" w:cs="Arial" w:eastAsia="Arial" w:hAnsi="Arial"/>
                <w:sz w:val="22"/>
                <w:szCs w:val="22"/>
                <w:color w:val="auto"/>
              </w:rPr>
              <w:t>Total lease cost</w:t>
            </w: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1,082</w:t>
            </w:r>
          </w:p>
        </w:tc>
        <w:tc>
          <w:tcPr>
            <w:tcW w:w="60" w:type="dxa"/>
            <w:vAlign w:val="bottom"/>
          </w:tcPr>
          <w:p>
            <w:pPr>
              <w:spacing w:after="0"/>
              <w:rPr>
                <w:sz w:val="23"/>
                <w:szCs w:val="23"/>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2,140</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r>
      <w:tr>
        <w:trPr>
          <w:trHeight w:val="601"/>
        </w:trPr>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December 31,</w:t>
            </w:r>
          </w:p>
        </w:tc>
      </w:tr>
      <w:tr>
        <w:trPr>
          <w:trHeight w:val="289"/>
        </w:trPr>
        <w:tc>
          <w:tcPr>
            <w:tcW w:w="7560" w:type="dxa"/>
            <w:vAlign w:val="bottom"/>
          </w:tcPr>
          <w:p>
            <w:pPr>
              <w:spacing w:after="0"/>
              <w:rPr>
                <w:sz w:val="20"/>
                <w:szCs w:val="20"/>
                <w:color w:val="auto"/>
              </w:rPr>
            </w:pPr>
            <w:r>
              <w:rPr>
                <w:rFonts w:ascii="Arial" w:cs="Arial" w:eastAsia="Arial" w:hAnsi="Arial"/>
                <w:sz w:val="22"/>
                <w:szCs w:val="22"/>
                <w:b w:val="1"/>
                <w:bCs w:val="1"/>
                <w:color w:val="auto"/>
              </w:rPr>
              <w:t>Other Operating Lease Information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7"/>
        </w:trPr>
        <w:tc>
          <w:tcPr>
            <w:tcW w:w="7560" w:type="dxa"/>
            <w:vAlign w:val="bottom"/>
          </w:tcPr>
          <w:p>
            <w:pPr>
              <w:spacing w:after="0"/>
              <w:rPr>
                <w:sz w:val="20"/>
                <w:szCs w:val="20"/>
                <w:color w:val="auto"/>
              </w:rPr>
            </w:pPr>
            <w:r>
              <w:rPr>
                <w:rFonts w:ascii="Arial" w:cs="Arial" w:eastAsia="Arial" w:hAnsi="Arial"/>
                <w:sz w:val="22"/>
                <w:szCs w:val="22"/>
                <w:color w:val="auto"/>
              </w:rPr>
              <w:t>Cash paid for amounts included in the measurement of lease liability</w:t>
            </w: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152"/>
              <w:spacing w:after="0"/>
              <w:rPr>
                <w:sz w:val="20"/>
                <w:szCs w:val="20"/>
                <w:color w:val="auto"/>
              </w:rPr>
            </w:pPr>
            <w:r>
              <w:rPr>
                <w:rFonts w:ascii="Arial" w:cs="Arial" w:eastAsia="Arial" w:hAnsi="Arial"/>
                <w:sz w:val="22"/>
                <w:szCs w:val="22"/>
                <w:color w:val="auto"/>
              </w:rPr>
              <w:t>4,477</w:t>
            </w:r>
          </w:p>
        </w:tc>
        <w:tc>
          <w:tcPr>
            <w:tcW w:w="34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00" w:type="dxa"/>
            <w:vAlign w:val="bottom"/>
          </w:tcPr>
          <w:p>
            <w:pPr>
              <w:jc w:val="right"/>
              <w:ind w:right="172"/>
              <w:spacing w:after="0"/>
              <w:rPr>
                <w:sz w:val="20"/>
                <w:szCs w:val="20"/>
                <w:color w:val="auto"/>
              </w:rPr>
            </w:pPr>
            <w:r>
              <w:rPr>
                <w:rFonts w:ascii="Arial" w:cs="Arial" w:eastAsia="Arial" w:hAnsi="Arial"/>
                <w:sz w:val="22"/>
                <w:szCs w:val="22"/>
                <w:color w:val="auto"/>
              </w:rPr>
              <w:t>4,359</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Weighted-average remaining lease term</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09"/>
        </w:trPr>
        <w:tc>
          <w:tcPr>
            <w:tcW w:w="7560" w:type="dxa"/>
            <w:vAlign w:val="bottom"/>
          </w:tcPr>
          <w:p>
            <w:pPr>
              <w:spacing w:after="0"/>
              <w:rPr>
                <w:sz w:val="20"/>
                <w:szCs w:val="20"/>
                <w:color w:val="auto"/>
              </w:rPr>
            </w:pPr>
            <w:r>
              <w:rPr>
                <w:rFonts w:ascii="Arial" w:cs="Arial" w:eastAsia="Arial" w:hAnsi="Arial"/>
                <w:sz w:val="22"/>
                <w:szCs w:val="22"/>
                <w:color w:val="auto"/>
              </w:rPr>
              <w:t>Weighted-average discount rate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5.3 %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-984885</wp:posOffset>
            </wp:positionV>
            <wp:extent cx="6522085" cy="1005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3">
                      <a:extLst>
                        <a:ext uri="{28A0092B-C50C-407E-A947-70E740481C1C}"/>
                      </a:extLst>
                    </a:blip>
                    <a:srcRect/>
                    <a:stretch>
                      <a:fillRect/>
                    </a:stretch>
                  </pic:blipFill>
                  <pic:spPr bwMode="auto">
                    <a:xfrm>
                      <a:off x="0" y="0"/>
                      <a:ext cx="6522085" cy="1005840"/>
                    </a:xfrm>
                    <a:prstGeom prst="rect">
                      <a:avLst/>
                    </a:prstGeom>
                    <a:noFill/>
                  </pic:spPr>
                </pic:pic>
              </a:graphicData>
            </a:graphic>
          </wp:anchor>
        </w:drawing>
      </w:r>
    </w:p>
    <w:p>
      <w:pPr>
        <w:spacing w:after="0" w:line="258"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The variable lease costs for the year ended December 31, 2025 include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Future minimum lease payments under the Company’s operating leases as of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6522085" cy="1802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4">
                      <a:extLst>
                        <a:ext uri="{28A0092B-C50C-407E-A947-70E740481C1C}"/>
                      </a:extLst>
                    </a:blip>
                    <a:srcRect/>
                    <a:stretch>
                      <a:fillRect/>
                    </a:stretch>
                  </pic:blipFill>
                  <pic:spPr bwMode="auto">
                    <a:xfrm>
                      <a:off x="0" y="0"/>
                      <a:ext cx="6522085" cy="1802130"/>
                    </a:xfrm>
                    <a:prstGeom prst="rect">
                      <a:avLst/>
                    </a:prstGeom>
                    <a:noFill/>
                  </pic:spPr>
                </pic:pic>
              </a:graphicData>
            </a:graphic>
          </wp:anchor>
        </w:drawing>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90"/>
        </w:trPr>
        <w:tc>
          <w:tcPr>
            <w:tcW w:w="8120" w:type="dxa"/>
            <w:vAlign w:val="bottom"/>
          </w:tcPr>
          <w:p>
            <w:pPr>
              <w:spacing w:after="0"/>
              <w:rPr>
                <w:sz w:val="20"/>
                <w:szCs w:val="20"/>
                <w:color w:val="auto"/>
              </w:rPr>
            </w:pPr>
            <w:r>
              <w:rPr>
                <w:rFonts w:ascii="Arial" w:cs="Arial" w:eastAsia="Arial" w:hAnsi="Arial"/>
                <w:sz w:val="22"/>
                <w:szCs w:val="22"/>
                <w:color w:val="auto"/>
              </w:rPr>
              <w:t>2026</w:t>
            </w:r>
          </w:p>
        </w:tc>
        <w:tc>
          <w:tcPr>
            <w:tcW w:w="76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4,599</w:t>
            </w:r>
          </w:p>
        </w:tc>
      </w:tr>
      <w:tr>
        <w:trPr>
          <w:trHeight w:val="309"/>
        </w:trPr>
        <w:tc>
          <w:tcPr>
            <w:tcW w:w="8120" w:type="dxa"/>
            <w:vAlign w:val="bottom"/>
          </w:tcPr>
          <w:p>
            <w:pPr>
              <w:spacing w:after="0"/>
              <w:rPr>
                <w:sz w:val="20"/>
                <w:szCs w:val="20"/>
                <w:color w:val="auto"/>
              </w:rPr>
            </w:pPr>
            <w:r>
              <w:rPr>
                <w:rFonts w:ascii="Arial" w:cs="Arial" w:eastAsia="Arial" w:hAnsi="Arial"/>
                <w:sz w:val="22"/>
                <w:szCs w:val="22"/>
                <w:color w:val="auto"/>
              </w:rPr>
              <w:t>2027</w:t>
            </w: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4,724</w:t>
            </w:r>
          </w:p>
        </w:tc>
      </w:tr>
      <w:tr>
        <w:trPr>
          <w:trHeight w:val="309"/>
        </w:trPr>
        <w:tc>
          <w:tcPr>
            <w:tcW w:w="8120" w:type="dxa"/>
            <w:vAlign w:val="bottom"/>
          </w:tcPr>
          <w:p>
            <w:pPr>
              <w:spacing w:after="0"/>
              <w:rPr>
                <w:sz w:val="20"/>
                <w:szCs w:val="20"/>
                <w:color w:val="auto"/>
              </w:rPr>
            </w:pPr>
            <w:r>
              <w:rPr>
                <w:rFonts w:ascii="Arial" w:cs="Arial" w:eastAsia="Arial" w:hAnsi="Arial"/>
                <w:sz w:val="22"/>
                <w:szCs w:val="22"/>
                <w:color w:val="auto"/>
              </w:rPr>
              <w:t>2028</w:t>
            </w: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3,926</w:t>
            </w:r>
          </w:p>
        </w:tc>
      </w:tr>
      <w:tr>
        <w:trPr>
          <w:trHeight w:val="309"/>
        </w:trPr>
        <w:tc>
          <w:tcPr>
            <w:tcW w:w="8120" w:type="dxa"/>
            <w:vAlign w:val="bottom"/>
          </w:tcPr>
          <w:p>
            <w:pPr>
              <w:spacing w:after="0"/>
              <w:rPr>
                <w:sz w:val="20"/>
                <w:szCs w:val="20"/>
                <w:color w:val="auto"/>
              </w:rPr>
            </w:pPr>
            <w:r>
              <w:rPr>
                <w:rFonts w:ascii="Arial" w:cs="Arial" w:eastAsia="Arial" w:hAnsi="Arial"/>
                <w:sz w:val="22"/>
                <w:szCs w:val="22"/>
                <w:color w:val="auto"/>
              </w:rPr>
              <w:t>2029</w:t>
            </w: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2,183</w:t>
            </w:r>
          </w:p>
        </w:tc>
      </w:tr>
      <w:tr>
        <w:trPr>
          <w:trHeight w:val="309"/>
        </w:trPr>
        <w:tc>
          <w:tcPr>
            <w:tcW w:w="8120" w:type="dxa"/>
            <w:vAlign w:val="bottom"/>
          </w:tcPr>
          <w:p>
            <w:pPr>
              <w:spacing w:after="0"/>
              <w:rPr>
                <w:sz w:val="20"/>
                <w:szCs w:val="20"/>
                <w:color w:val="auto"/>
              </w:rPr>
            </w:pPr>
            <w:r>
              <w:rPr>
                <w:rFonts w:ascii="Arial" w:cs="Arial" w:eastAsia="Arial" w:hAnsi="Arial"/>
                <w:sz w:val="22"/>
                <w:szCs w:val="22"/>
                <w:color w:val="auto"/>
              </w:rPr>
              <w:t>2030</w:t>
            </w: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2,249</w:t>
            </w:r>
          </w:p>
        </w:tc>
      </w:tr>
      <w:tr>
        <w:trPr>
          <w:trHeight w:val="311"/>
        </w:trPr>
        <w:tc>
          <w:tcPr>
            <w:tcW w:w="8120" w:type="dxa"/>
            <w:vAlign w:val="bottom"/>
          </w:tcPr>
          <w:p>
            <w:pPr>
              <w:spacing w:after="0"/>
              <w:rPr>
                <w:sz w:val="20"/>
                <w:szCs w:val="20"/>
                <w:color w:val="auto"/>
              </w:rPr>
            </w:pPr>
            <w:r>
              <w:rPr>
                <w:rFonts w:ascii="Arial" w:cs="Arial" w:eastAsia="Arial" w:hAnsi="Arial"/>
                <w:sz w:val="22"/>
                <w:szCs w:val="22"/>
                <w:color w:val="auto"/>
              </w:rPr>
              <w:t>Thereafter</w:t>
            </w: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3,891</w:t>
            </w:r>
          </w:p>
        </w:tc>
      </w:tr>
      <w:tr>
        <w:trPr>
          <w:trHeight w:val="287"/>
        </w:trPr>
        <w:tc>
          <w:tcPr>
            <w:tcW w:w="8120" w:type="dxa"/>
            <w:vAlign w:val="bottom"/>
          </w:tcPr>
          <w:p>
            <w:pPr>
              <w:spacing w:after="0"/>
              <w:rPr>
                <w:sz w:val="20"/>
                <w:szCs w:val="20"/>
                <w:color w:val="auto"/>
              </w:rPr>
            </w:pPr>
            <w:r>
              <w:rPr>
                <w:rFonts w:ascii="Arial" w:cs="Arial" w:eastAsia="Arial" w:hAnsi="Arial"/>
                <w:sz w:val="22"/>
                <w:szCs w:val="22"/>
                <w:color w:val="auto"/>
              </w:rPr>
              <w:t>Total lease payments</w:t>
            </w:r>
          </w:p>
        </w:tc>
        <w:tc>
          <w:tcPr>
            <w:tcW w:w="7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21,572</w:t>
            </w:r>
          </w:p>
        </w:tc>
      </w:tr>
      <w:tr>
        <w:trPr>
          <w:trHeight w:val="311"/>
        </w:trPr>
        <w:tc>
          <w:tcPr>
            <w:tcW w:w="8120" w:type="dxa"/>
            <w:vAlign w:val="bottom"/>
          </w:tcPr>
          <w:p>
            <w:pPr>
              <w:spacing w:after="0"/>
              <w:rPr>
                <w:sz w:val="20"/>
                <w:szCs w:val="20"/>
                <w:color w:val="auto"/>
              </w:rPr>
            </w:pPr>
            <w:r>
              <w:rPr>
                <w:rFonts w:ascii="Arial" w:cs="Arial" w:eastAsia="Arial" w:hAnsi="Arial"/>
                <w:sz w:val="22"/>
                <w:szCs w:val="22"/>
                <w:color w:val="auto"/>
              </w:rPr>
              <w:t>Less: interest</w:t>
            </w: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(2,791)</w:t>
            </w:r>
          </w:p>
        </w:tc>
      </w:tr>
      <w:tr>
        <w:trPr>
          <w:trHeight w:val="269"/>
        </w:trPr>
        <w:tc>
          <w:tcPr>
            <w:tcW w:w="8120" w:type="dxa"/>
            <w:vAlign w:val="bottom"/>
          </w:tcPr>
          <w:p>
            <w:pPr>
              <w:spacing w:after="0"/>
              <w:rPr>
                <w:sz w:val="20"/>
                <w:szCs w:val="20"/>
                <w:color w:val="auto"/>
              </w:rPr>
            </w:pPr>
            <w:r>
              <w:rPr>
                <w:rFonts w:ascii="Arial" w:cs="Arial" w:eastAsia="Arial" w:hAnsi="Arial"/>
                <w:sz w:val="22"/>
                <w:szCs w:val="22"/>
                <w:color w:val="auto"/>
              </w:rPr>
              <w:t>Total lease liability</w:t>
            </w:r>
          </w:p>
        </w:tc>
        <w:tc>
          <w:tcPr>
            <w:tcW w:w="7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18,781</w:t>
            </w:r>
          </w:p>
        </w:tc>
      </w:tr>
      <w:tr>
        <w:trPr>
          <w:trHeight w:val="20"/>
        </w:trPr>
        <w:tc>
          <w:tcPr>
            <w:tcW w:w="8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Rent expense for the years ended December 31, 2025 and 2024 was $5,279 and $5,275,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248"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The Company enters into contracts in the normal course of business with contract research organizations (CROs), contract manufacturing organizations (CMOs) and other third parties for preclinical research studies, clinical trials and testing and manufacturing services. These contracts do not contain minimum purchase commitments and are cancelable upon prior written notice. Payments due upon cancellation consist only of payments for services provided or expenses incurred, including noncancelable obligations of service providers, up to the date of cancellation.</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License Agreements</w:t>
      </w:r>
    </w:p>
    <w:p>
      <w:pPr>
        <w:spacing w:after="0" w:line="250" w:lineRule="exact"/>
        <w:rPr>
          <w:sz w:val="20"/>
          <w:szCs w:val="20"/>
          <w:color w:val="auto"/>
        </w:rPr>
      </w:pPr>
    </w:p>
    <w:p>
      <w:pPr>
        <w:ind w:right="300"/>
        <w:spacing w:after="0" w:line="296" w:lineRule="auto"/>
        <w:rPr>
          <w:sz w:val="20"/>
          <w:szCs w:val="20"/>
          <w:color w:val="auto"/>
        </w:rPr>
      </w:pPr>
      <w:r>
        <w:rPr>
          <w:rFonts w:ascii="Arial" w:cs="Arial" w:eastAsia="Arial" w:hAnsi="Arial"/>
          <w:sz w:val="20"/>
          <w:szCs w:val="20"/>
          <w:color w:val="auto"/>
        </w:rPr>
        <w:t>The Company is party to license agreements, which include contingent payments. These payments will become payable if and when certain development, regulatory and commercial milestones are achieved. As of December 31, 2025, the satisfaction and timing of the contingent payments is uncertain and not reasonably estimable.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158</w:t>
      </w:r>
    </w:p>
    <w:p>
      <w:pPr>
        <w:sectPr>
          <w:pgSz w:w="11880" w:h="15480" w:orient="portrait"/>
          <w:cols w:equalWidth="0" w:num="1">
            <w:col w:w="10240"/>
          </w:cols>
          <w:pgMar w:left="820" w:top="678" w:right="820" w:bottom="0" w:gutter="0" w:footer="0" w:header="0"/>
          <w:type w:val="continuous"/>
        </w:sectPr>
      </w:pPr>
    </w:p>
    <w:bookmarkStart w:id="162" w:name="page163"/>
    <w:bookmarkEnd w:id="162"/>
    <w:p>
      <w:pPr>
        <w:spacing w:after="0"/>
        <w:rPr>
          <w:sz w:val="20"/>
          <w:szCs w:val="20"/>
          <w:color w:val="auto"/>
        </w:rPr>
      </w:pPr>
      <w:r>
        <w:rPr>
          <w:rFonts w:ascii="Arial" w:cs="Arial" w:eastAsia="Arial" w:hAnsi="Arial"/>
          <w:sz w:val="22"/>
          <w:szCs w:val="22"/>
          <w:b w:val="1"/>
          <w:bCs w:val="1"/>
          <w:i w:val="1"/>
          <w:iCs w:val="1"/>
          <w:color w:val="auto"/>
        </w:rPr>
        <w:t>Indemnification agreements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or 2024.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proceedings</w:t>
      </w:r>
    </w:p>
    <w:p>
      <w:pPr>
        <w:spacing w:after="0" w:line="250"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auto"/>
        </w:rPr>
        <w:t>The Company is not currently party to and is not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BENEFIT PLANS</w:t>
      </w:r>
    </w:p>
    <w:p>
      <w:pPr>
        <w:spacing w:after="0" w:line="24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Company has a tax-qualified 401(k) and Profit Sharing defined contribution plan (the 401(k) Plan). Under the 401(k) Plan, the Company provides an employer safe harbor matching contribution equal to 100% of a participant’s eligible contributions of up to 6% of eligible compensation, subject to limits established by the Internal Revenue Code of 1986, as amended, and any regulations promulgated thereunder (the Code). All matching contributions are fully vested when made. During the years ended December 31, 2025 and 2024, the Company contributed $320 and $783, respectively, to the 401(k) Plan.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SEGMENT REPORTING</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operates as a single reporting segment, focused on the development of MasterKey therapies that target families of oncogenic mutations in patients with cancer.</w:t>
      </w:r>
    </w:p>
    <w:p>
      <w:pPr>
        <w:spacing w:after="0" w:line="156" w:lineRule="exact"/>
        <w:rPr>
          <w:sz w:val="20"/>
          <w:szCs w:val="20"/>
          <w:color w:val="auto"/>
        </w:rPr>
      </w:pPr>
    </w:p>
    <w:p>
      <w:pPr>
        <w:ind w:right="260"/>
        <w:spacing w:after="0" w:line="277" w:lineRule="auto"/>
        <w:rPr>
          <w:sz w:val="20"/>
          <w:szCs w:val="20"/>
          <w:color w:val="auto"/>
        </w:rPr>
      </w:pPr>
      <w:r>
        <w:rPr>
          <w:rFonts w:ascii="Arial" w:cs="Arial" w:eastAsia="Arial" w:hAnsi="Arial"/>
          <w:sz w:val="20"/>
          <w:szCs w:val="20"/>
          <w:color w:val="auto"/>
        </w:rPr>
        <w:t>The Company’s measure of segment profit or loss is net income (loss). The CODM is the chief executive officer (CEO). The CODM manages and allocates resources to the operations of the Company on a total company basis. Managing and allocating resources on a consolidated basis enables the CEO to assess the overall level of resources available and how to best deploy these resources across functions and development projects that are in line with the Company’s strategic goals. Consistent with this decision-making process, the CEO uses consolidated financial information for purposes of evaluating performance, forecasting future period financial results, allocating resources and setting incentive targets. Segment net income (loss) is used to monitor budget versus actual results and in assessing performance of the segment.</w:t>
      </w:r>
    </w:p>
    <w:p>
      <w:pPr>
        <w:sectPr>
          <w:pgSz w:w="11880" w:h="15480" w:orient="portrait"/>
          <w:cols w:equalWidth="0" w:num="1">
            <w:col w:w="10220"/>
          </w:cols>
          <w:pgMar w:left="820" w:top="66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159</w:t>
      </w:r>
    </w:p>
    <w:p>
      <w:pPr>
        <w:sectPr>
          <w:pgSz w:w="11880" w:h="15480" w:orient="portrait"/>
          <w:cols w:equalWidth="0" w:num="1">
            <w:col w:w="10220"/>
          </w:cols>
          <w:pgMar w:left="820" w:top="668" w:right="840" w:bottom="0" w:gutter="0" w:footer="0" w:header="0"/>
          <w:type w:val="continuous"/>
        </w:sectPr>
      </w:pPr>
    </w:p>
    <w:bookmarkStart w:id="163" w:name="page164"/>
    <w:bookmarkEnd w:id="163"/>
    <w:p>
      <w:pPr>
        <w:ind w:right="400"/>
        <w:spacing w:after="0" w:line="271" w:lineRule="auto"/>
        <w:rPr>
          <w:sz w:val="20"/>
          <w:szCs w:val="20"/>
          <w:color w:val="auto"/>
        </w:rPr>
      </w:pPr>
      <w:r>
        <w:rPr>
          <w:rFonts w:ascii="Arial" w:cs="Arial" w:eastAsia="Arial" w:hAnsi="Arial"/>
          <w:sz w:val="22"/>
          <w:szCs w:val="22"/>
          <w:color w:val="auto"/>
        </w:rPr>
        <w:t>The following table is a reconciliation of the significant expense categories to segment net income (loss) regularly provided to the CODM when managing the Company’s single reporting segment:</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92"/>
        </w:trPr>
        <w:tc>
          <w:tcPr>
            <w:tcW w:w="7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22"/>
                <w:szCs w:val="22"/>
                <w:color w:val="auto"/>
                <w:w w:val="87"/>
              </w:rPr>
              <w:t>Year Ended December 31,</w:t>
            </w:r>
          </w:p>
        </w:tc>
      </w:tr>
      <w:tr>
        <w:trPr>
          <w:trHeight w:val="289"/>
        </w:trPr>
        <w:tc>
          <w:tcPr>
            <w:tcW w:w="7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2024</w:t>
            </w:r>
          </w:p>
        </w:tc>
      </w:tr>
      <w:tr>
        <w:trPr>
          <w:trHeight w:val="287"/>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4"/>
          </w:tcPr>
          <w:p>
            <w:pPr>
              <w:jc w:val="right"/>
              <w:ind w:right="592"/>
              <w:spacing w:after="0"/>
              <w:rPr>
                <w:sz w:val="20"/>
                <w:szCs w:val="20"/>
                <w:color w:val="auto"/>
              </w:rPr>
            </w:pPr>
            <w:r>
              <w:rPr>
                <w:rFonts w:ascii="Arial" w:cs="Arial" w:eastAsia="Arial" w:hAnsi="Arial"/>
                <w:sz w:val="22"/>
                <w:szCs w:val="22"/>
                <w:color w:val="auto"/>
              </w:rPr>
              <w:t>(in thousands)</w:t>
            </w:r>
          </w:p>
        </w:tc>
      </w:tr>
      <w:tr>
        <w:trPr>
          <w:trHeight w:val="304"/>
        </w:trPr>
        <w:tc>
          <w:tcPr>
            <w:tcW w:w="7560" w:type="dxa"/>
            <w:vAlign w:val="bottom"/>
          </w:tcPr>
          <w:p>
            <w:pPr>
              <w:ind w:left="120"/>
              <w:spacing w:after="0"/>
              <w:rPr>
                <w:sz w:val="20"/>
                <w:szCs w:val="20"/>
                <w:color w:val="auto"/>
              </w:rPr>
            </w:pPr>
            <w:r>
              <w:rPr>
                <w:rFonts w:ascii="Arial" w:cs="Arial" w:eastAsia="Arial" w:hAnsi="Arial"/>
                <w:sz w:val="22"/>
                <w:szCs w:val="22"/>
                <w:color w:val="auto"/>
              </w:rPr>
              <w:t>License revenue</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70,000</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4"/>
        </w:trPr>
        <w:tc>
          <w:tcPr>
            <w:tcW w:w="7560" w:type="dxa"/>
            <w:vAlign w:val="bottom"/>
          </w:tcPr>
          <w:p>
            <w:pPr>
              <w:ind w:left="120"/>
              <w:spacing w:after="0"/>
              <w:rPr>
                <w:sz w:val="20"/>
                <w:szCs w:val="20"/>
                <w:color w:val="auto"/>
              </w:rPr>
            </w:pPr>
            <w:r>
              <w:rPr>
                <w:rFonts w:ascii="Arial" w:cs="Arial" w:eastAsia="Arial" w:hAnsi="Arial"/>
                <w:sz w:val="22"/>
                <w:szCs w:val="22"/>
                <w:color w:val="auto"/>
              </w:rPr>
              <w:t>Program expenses: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4"/>
        </w:trPr>
        <w:tc>
          <w:tcPr>
            <w:tcW w:w="7560" w:type="dxa"/>
            <w:vAlign w:val="bottom"/>
          </w:tcPr>
          <w:p>
            <w:pPr>
              <w:ind w:left="240"/>
              <w:spacing w:after="0"/>
              <w:rPr>
                <w:sz w:val="20"/>
                <w:szCs w:val="20"/>
                <w:color w:val="auto"/>
              </w:rPr>
            </w:pPr>
            <w:r>
              <w:rPr>
                <w:rFonts w:ascii="Arial" w:cs="Arial" w:eastAsia="Arial" w:hAnsi="Arial"/>
                <w:sz w:val="22"/>
                <w:szCs w:val="22"/>
                <w:color w:val="auto"/>
              </w:rPr>
              <w:t>Silevertinib (NSCLC) research and development expenses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17,469</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24,378</w:t>
            </w: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Silevertinib (GBM) research and development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09"/>
        </w:trPr>
        <w:tc>
          <w:tcPr>
            <w:tcW w:w="7560" w:type="dxa"/>
            <w:vAlign w:val="bottom"/>
          </w:tcPr>
          <w:p>
            <w:pPr>
              <w:ind w:left="240"/>
              <w:spacing w:after="0"/>
              <w:rPr>
                <w:sz w:val="20"/>
                <w:szCs w:val="20"/>
                <w:color w:val="auto"/>
              </w:rPr>
            </w:pPr>
            <w:r>
              <w:rPr>
                <w:rFonts w:ascii="Arial" w:cs="Arial" w:eastAsia="Arial" w:hAnsi="Arial"/>
                <w:sz w:val="22"/>
                <w:szCs w:val="22"/>
                <w:color w:val="auto"/>
              </w:rPr>
              <w:t>BDTX-4933 research and development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4,613</w:t>
            </w:r>
          </w:p>
        </w:tc>
      </w:tr>
      <w:tr>
        <w:trPr>
          <w:trHeight w:val="332"/>
        </w:trPr>
        <w:tc>
          <w:tcPr>
            <w:tcW w:w="7560" w:type="dxa"/>
            <w:vAlign w:val="bottom"/>
          </w:tcPr>
          <w:p>
            <w:pPr>
              <w:ind w:left="240"/>
              <w:spacing w:after="0"/>
              <w:rPr>
                <w:sz w:val="20"/>
                <w:szCs w:val="20"/>
                <w:color w:val="auto"/>
              </w:rPr>
            </w:pPr>
            <w:r>
              <w:rPr>
                <w:rFonts w:ascii="Arial" w:cs="Arial" w:eastAsia="Arial" w:hAnsi="Arial"/>
                <w:sz w:val="22"/>
                <w:szCs w:val="22"/>
                <w:color w:val="auto"/>
              </w:rPr>
              <w:t>Other research programs and development expenses</w:t>
            </w:r>
            <w:r>
              <w:rPr>
                <w:rFonts w:ascii="Arial" w:cs="Arial" w:eastAsia="Arial" w:hAnsi="Arial"/>
                <w:sz w:val="28"/>
                <w:szCs w:val="28"/>
                <w:color w:val="auto"/>
                <w:vertAlign w:val="superscript"/>
              </w:rPr>
              <w:t>1</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1,500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2,515</w:t>
            </w:r>
          </w:p>
        </w:tc>
      </w:tr>
      <w:tr>
        <w:trPr>
          <w:trHeight w:val="309"/>
        </w:trPr>
        <w:tc>
          <w:tcPr>
            <w:tcW w:w="7560" w:type="dxa"/>
            <w:vAlign w:val="bottom"/>
          </w:tcPr>
          <w:p>
            <w:pPr>
              <w:ind w:left="120"/>
              <w:spacing w:after="0" w:line="309" w:lineRule="exact"/>
              <w:rPr>
                <w:sz w:val="20"/>
                <w:szCs w:val="20"/>
                <w:color w:val="auto"/>
              </w:rPr>
            </w:pPr>
            <w:r>
              <w:rPr>
                <w:rFonts w:ascii="Arial" w:cs="Arial" w:eastAsia="Arial" w:hAnsi="Arial"/>
                <w:sz w:val="22"/>
                <w:szCs w:val="22"/>
                <w:color w:val="auto"/>
              </w:rPr>
              <w:t>Non-program expenses</w:t>
            </w:r>
            <w:r>
              <w:rPr>
                <w:rFonts w:ascii="Arial" w:cs="Arial" w:eastAsia="Arial" w:hAnsi="Arial"/>
                <w:sz w:val="28"/>
                <w:szCs w:val="28"/>
                <w:color w:val="auto"/>
                <w:vertAlign w:val="superscript"/>
              </w:rPr>
              <w:t>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12,035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14,670</w:t>
            </w:r>
          </w:p>
        </w:tc>
      </w:tr>
      <w:tr>
        <w:trPr>
          <w:trHeight w:val="285"/>
        </w:trPr>
        <w:tc>
          <w:tcPr>
            <w:tcW w:w="7560" w:type="dxa"/>
            <w:vAlign w:val="bottom"/>
          </w:tcPr>
          <w:p>
            <w:pPr>
              <w:ind w:left="120"/>
              <w:spacing w:after="0"/>
              <w:rPr>
                <w:sz w:val="20"/>
                <w:szCs w:val="20"/>
                <w:color w:val="auto"/>
              </w:rPr>
            </w:pPr>
            <w:r>
              <w:rPr>
                <w:rFonts w:ascii="Arial" w:cs="Arial" w:eastAsia="Arial" w:hAnsi="Arial"/>
                <w:sz w:val="22"/>
                <w:szCs w:val="22"/>
                <w:color w:val="auto"/>
              </w:rPr>
              <w:t>Personnel-related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11,015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21,978</w:t>
            </w:r>
          </w:p>
        </w:tc>
      </w:tr>
      <w:tr>
        <w:trPr>
          <w:trHeight w:val="316"/>
        </w:trPr>
        <w:tc>
          <w:tcPr>
            <w:tcW w:w="7560" w:type="dxa"/>
            <w:vAlign w:val="bottom"/>
          </w:tcPr>
          <w:p>
            <w:pPr>
              <w:ind w:left="120"/>
              <w:spacing w:after="0" w:line="316" w:lineRule="exact"/>
              <w:rPr>
                <w:sz w:val="20"/>
                <w:szCs w:val="20"/>
                <w:color w:val="auto"/>
              </w:rPr>
            </w:pPr>
            <w:r>
              <w:rPr>
                <w:rFonts w:ascii="Arial" w:cs="Arial" w:eastAsia="Arial" w:hAnsi="Arial"/>
                <w:sz w:val="22"/>
                <w:szCs w:val="22"/>
                <w:color w:val="auto"/>
              </w:rPr>
              <w:t>Other segment items</w:t>
            </w:r>
            <w:r>
              <w:rPr>
                <w:rFonts w:ascii="Arial" w:cs="Arial" w:eastAsia="Arial" w:hAnsi="Arial"/>
                <w:sz w:val="28"/>
                <w:szCs w:val="28"/>
                <w:color w:val="auto"/>
                <w:vertAlign w:val="superscript"/>
              </w:rPr>
              <w:t>3</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4,458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1,522</w:t>
            </w:r>
          </w:p>
        </w:tc>
      </w:tr>
      <w:tr>
        <w:trPr>
          <w:trHeight w:val="269"/>
        </w:trPr>
        <w:tc>
          <w:tcPr>
            <w:tcW w:w="7560" w:type="dxa"/>
            <w:vAlign w:val="bottom"/>
          </w:tcPr>
          <w:p>
            <w:pPr>
              <w:spacing w:after="0"/>
              <w:rPr>
                <w:sz w:val="20"/>
                <w:szCs w:val="20"/>
                <w:color w:val="auto"/>
              </w:rPr>
            </w:pPr>
            <w:r>
              <w:rPr>
                <w:rFonts w:ascii="Arial" w:cs="Arial" w:eastAsia="Arial" w:hAnsi="Arial"/>
                <w:sz w:val="22"/>
                <w:szCs w:val="22"/>
                <w:color w:val="auto"/>
              </w:rPr>
              <w:t>Segment net income (loss)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22,367</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(69,676)</w:t>
            </w: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-1991360</wp:posOffset>
            </wp:positionV>
            <wp:extent cx="6522085" cy="19983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5">
                      <a:extLst>
                        <a:ext uri="{28A0092B-C50C-407E-A947-70E740481C1C}"/>
                      </a:extLst>
                    </a:blip>
                    <a:srcRect/>
                    <a:stretch>
                      <a:fillRect/>
                    </a:stretch>
                  </pic:blipFill>
                  <pic:spPr bwMode="auto">
                    <a:xfrm>
                      <a:off x="0" y="0"/>
                      <a:ext cx="6522085" cy="1998345"/>
                    </a:xfrm>
                    <a:prstGeom prst="rect">
                      <a:avLst/>
                    </a:prstGeom>
                    <a:noFill/>
                  </pic:spPr>
                </pic:pic>
              </a:graphicData>
            </a:graphic>
          </wp:anchor>
        </w:drawing>
      </w:r>
    </w:p>
    <w:p>
      <w:pPr>
        <w:spacing w:after="0" w:line="99" w:lineRule="exact"/>
        <w:rPr>
          <w:sz w:val="20"/>
          <w:szCs w:val="20"/>
          <w:color w:val="auto"/>
        </w:rPr>
      </w:pPr>
    </w:p>
    <w:p>
      <w:pPr>
        <w:ind w:right="180"/>
        <w:spacing w:after="0" w:line="310" w:lineRule="auto"/>
        <w:rPr>
          <w:sz w:val="20"/>
          <w:szCs w:val="20"/>
          <w:color w:val="auto"/>
        </w:rPr>
      </w:pPr>
      <w:r>
        <w:rPr>
          <w:rFonts w:ascii="Arial" w:cs="Arial" w:eastAsia="Arial" w:hAnsi="Arial"/>
          <w:sz w:val="19"/>
          <w:szCs w:val="19"/>
          <w:color w:val="auto"/>
        </w:rPr>
        <w:t>(</w:t>
      </w:r>
      <w:r>
        <w:rPr>
          <w:rFonts w:ascii="Arial" w:cs="Arial" w:eastAsia="Arial" w:hAnsi="Arial"/>
          <w:sz w:val="17"/>
          <w:szCs w:val="17"/>
          <w:b w:val="1"/>
          <w:bCs w:val="1"/>
          <w:i w:val="1"/>
          <w:iCs w:val="1"/>
          <w:color w:val="auto"/>
        </w:rPr>
        <w:t>1) Includes cross-program consulting expenses; (2) Includes facilities, information technology, legal, intellectual property, and</w:t>
      </w:r>
      <w:r>
        <w:rPr>
          <w:rFonts w:ascii="Arial" w:cs="Arial" w:eastAsia="Arial" w:hAnsi="Arial"/>
          <w:sz w:val="19"/>
          <w:szCs w:val="19"/>
          <w:color w:val="auto"/>
        </w:rPr>
        <w:t xml:space="preserve"> </w:t>
      </w:r>
      <w:r>
        <w:rPr>
          <w:rFonts w:ascii="Arial" w:cs="Arial" w:eastAsia="Arial" w:hAnsi="Arial"/>
          <w:sz w:val="17"/>
          <w:szCs w:val="17"/>
          <w:b w:val="1"/>
          <w:bCs w:val="1"/>
          <w:i w:val="1"/>
          <w:iCs w:val="1"/>
          <w:color w:val="auto"/>
        </w:rPr>
        <w:t>other general and administrative expense; (3) Includes stock-based compensation expense, depreciation, sublease income, investment accretion, interest income, impairment gain/loss, and other (income) expense.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LICENSE REVENUE</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In March 2025, the Company entered into a license agreement with Servier (the Servier Agreement). Pursuant to the Servier Agreement, the Company granted to Servier a worldwide license to develop and commercialize BDTX-4933. Under the terms of the Servier Agreement, Servier will lead the development activities and the worldwide commercialization of BDTX-4933 across multiple indications, including NSCLC, with potential applications in other solid tumors. Under the Servier Agreement, the Company received an upfront payment of $70,000 in March 2025 and will be eligible to receive up to $710,000 in development and commercial sales milestone payments, along with tiered royalties based on global net sales. These milestone and royalty payments will become payable to the Company if and when the development and commercial sales milestones are achieved and commercial sales of the licensed product are made.</w:t>
      </w:r>
    </w:p>
    <w:p>
      <w:pPr>
        <w:spacing w:after="0" w:line="183" w:lineRule="exact"/>
        <w:rPr>
          <w:sz w:val="20"/>
          <w:szCs w:val="20"/>
          <w:color w:val="auto"/>
        </w:rPr>
      </w:pPr>
    </w:p>
    <w:p>
      <w:pPr>
        <w:ind w:right="120"/>
        <w:spacing w:after="0" w:line="287" w:lineRule="auto"/>
        <w:rPr>
          <w:sz w:val="20"/>
          <w:szCs w:val="20"/>
          <w:color w:val="auto"/>
        </w:rPr>
      </w:pPr>
      <w:r>
        <w:rPr>
          <w:rFonts w:ascii="Arial" w:cs="Arial" w:eastAsia="Arial" w:hAnsi="Arial"/>
          <w:sz w:val="20"/>
          <w:szCs w:val="20"/>
          <w:color w:val="auto"/>
        </w:rPr>
        <w:t>Unless earlier terminated, the term of the Servier Agreement continues until expiration of the last royalty term for the applicable product in the applicable country. The Servier Agreement is subject to customary termination provisions, including termination by a party for the other party’s uncured, material breach. The Servier Agreement also includes customary representations and warranties, covenants and indemnification obligations.</w:t>
      </w:r>
    </w:p>
    <w:p>
      <w:pPr>
        <w:spacing w:after="0" w:line="170" w:lineRule="exact"/>
        <w:rPr>
          <w:sz w:val="20"/>
          <w:szCs w:val="20"/>
          <w:color w:val="auto"/>
        </w:rPr>
      </w:pPr>
    </w:p>
    <w:p>
      <w:pPr>
        <w:ind w:right="40"/>
        <w:spacing w:after="0" w:line="249" w:lineRule="auto"/>
        <w:rPr>
          <w:sz w:val="20"/>
          <w:szCs w:val="20"/>
          <w:color w:val="auto"/>
        </w:rPr>
      </w:pPr>
      <w:r>
        <w:rPr>
          <w:rFonts w:ascii="Arial" w:cs="Arial" w:eastAsia="Arial" w:hAnsi="Arial"/>
          <w:sz w:val="22"/>
          <w:szCs w:val="22"/>
          <w:color w:val="auto"/>
        </w:rPr>
        <w:t>The Company assessed the Servier Agreement in accordance with ASC 606 and concluded that the contract counterparty, Servier, is a customer. In accordance with ASC 606, the Company determined that there is one performance obligation in the Servier Agreement, consisting of the license of the functional IP rights to BDTX-4933 granted to Servier. The transaction price was comprised of the fixed consideration of $70,000 and was recognized upon transfer of control of the license at a point in time upon contract execution. The arrangement includes significant variable consideration primarily in the form of development and commercial sales milestone payments and royalty fees.</w:t>
      </w:r>
    </w:p>
    <w:p>
      <w:pPr>
        <w:spacing w:after="0" w:line="209"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The development milestone fees are fully constrained at the inception of the contract. The estimate of variable consideration and the judgments related to the constraints for the development milestones are reassessed each reporting period under the most likely amount method. As of and for the year ended December 31, 2025, the Company determined the events underlying the milestones were not probable, therefore the variable consideration was fully constrained and no adjustments to the estimates have been made.</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160</w:t>
      </w:r>
    </w:p>
    <w:p>
      <w:pPr>
        <w:sectPr>
          <w:pgSz w:w="11880" w:h="15480" w:orient="portrait"/>
          <w:cols w:equalWidth="0" w:num="1">
            <w:col w:w="10240"/>
          </w:cols>
          <w:pgMar w:left="820" w:top="678" w:right="820" w:bottom="0" w:gutter="0" w:footer="0" w:header="0"/>
          <w:type w:val="continuous"/>
        </w:sectPr>
      </w:pPr>
    </w:p>
    <w:bookmarkStart w:id="164" w:name="page165"/>
    <w:bookmarkEnd w:id="164"/>
    <w:p>
      <w:pPr>
        <w:ind w:right="240"/>
        <w:spacing w:after="0" w:line="287" w:lineRule="auto"/>
        <w:rPr>
          <w:sz w:val="20"/>
          <w:szCs w:val="20"/>
          <w:color w:val="auto"/>
        </w:rPr>
      </w:pPr>
      <w:r>
        <w:rPr>
          <w:rFonts w:ascii="Arial" w:cs="Arial" w:eastAsia="Arial" w:hAnsi="Arial"/>
          <w:sz w:val="20"/>
          <w:szCs w:val="20"/>
          <w:color w:val="auto"/>
        </w:rPr>
        <w:t>The commercial sales milestones and royalty fees are considered variable consideration and will be recognized as revenue as such sales occur. The commercial sales milestones and royalty fees qualify for the sales and usage-based royalty exception because the license of the functional IP rights to BDTX-4933 is the predominant element of the Servier Agreement and therefore does not require an estimate of the future transaction price.</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22"/>
          <w:szCs w:val="22"/>
          <w:color w:val="auto"/>
        </w:rPr>
        <w:t>During the year ended December 31, 2025, the Company recorded $— in license revenue pursuant to the Servier Agreement and seventy million in the year ended December 31, 2024. We anticipate that our net operating losses will cover our annual 2025 tax expense associated with this revenue.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Our management, with the participation of our principal executive officer and principal financial officer, evaluated the effectiveness of our disclosure controls and procedures (as defined in Rule 13a-15(e) of the Exchange Act) as of the end of the period covered by this report. Based on that evaluation, our principal executive officer and principal financial officer have concluded that as of December 31, 2025, our disclosure controls and procedures were effective at a reasonable assurance level. The Company’s disclosure controls and procedures are designed to provide reasonable assurance that information required to be disclosed by us in reports that we file or submit under the Exchange Act (i) is recorded, processed, summarized and reported within the time periods specified in the SEC’s rules and forms; and</w:t>
      </w:r>
    </w:p>
    <w:p>
      <w:pPr>
        <w:spacing w:after="0" w:line="4" w:lineRule="exact"/>
        <w:rPr>
          <w:sz w:val="20"/>
          <w:szCs w:val="20"/>
          <w:color w:val="auto"/>
        </w:rPr>
      </w:pPr>
    </w:p>
    <w:p>
      <w:pPr>
        <w:ind w:right="60" w:firstLine="4"/>
        <w:spacing w:after="0" w:line="277" w:lineRule="auto"/>
        <w:tabs>
          <w:tab w:leader="none" w:pos="317" w:val="left"/>
        </w:tabs>
        <w:numPr>
          <w:ilvl w:val="0"/>
          <w:numId w:val="67"/>
        </w:numPr>
        <w:rPr>
          <w:rFonts w:ascii="Arial" w:cs="Arial" w:eastAsia="Arial" w:hAnsi="Arial"/>
          <w:sz w:val="20"/>
          <w:szCs w:val="20"/>
          <w:color w:val="auto"/>
        </w:rPr>
      </w:pPr>
      <w:r>
        <w:rPr>
          <w:rFonts w:ascii="Arial" w:cs="Arial" w:eastAsia="Arial" w:hAnsi="Arial"/>
          <w:sz w:val="20"/>
          <w:szCs w:val="20"/>
          <w:color w:val="auto"/>
        </w:rPr>
        <w:t>accumulated and communicated to management, including our principal executive officer and principal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48"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Our management assessed the effectiveness of our internal control over financial reporting as of December 31, 2025 based on the criteria set forth by the Committee of Sponsoring Organizations of the Treadway Commission in its 2013 Internal Control — Integrated Framework. Based on this assessment, our management has concluded that our internal control over financial reporting was effective as of December 31, 2025.</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This Annual Report does not include an attestation report of our registered public accounting firm regarding our internal control over financial reporting. We are not required to have, nor have we engaged our independent registered public accounting firm to perform, an audit on our internal control over financial reporting pursuant to the rules of the SEC that permit us to provide only management’s report in this Annual Report.</w:t>
      </w:r>
    </w:p>
    <w:p>
      <w:pPr>
        <w:sectPr>
          <w:pgSz w:w="11880" w:h="15480" w:orient="portrait"/>
          <w:cols w:equalWidth="0" w:num="1">
            <w:col w:w="10240"/>
          </w:cols>
          <w:pgMar w:left="820" w:top="67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161</w:t>
      </w:r>
    </w:p>
    <w:p>
      <w:pPr>
        <w:sectPr>
          <w:pgSz w:w="11880" w:h="15480" w:orient="portrait"/>
          <w:cols w:equalWidth="0" w:num="1">
            <w:col w:w="10240"/>
          </w:cols>
          <w:pgMar w:left="820" w:top="678" w:right="820" w:bottom="0" w:gutter="0" w:footer="0" w:header="0"/>
          <w:type w:val="continuous"/>
        </w:sectPr>
      </w:pPr>
    </w:p>
    <w:bookmarkStart w:id="165" w:name="page166"/>
    <w:bookmarkEnd w:id="165"/>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22"/>
          <w:szCs w:val="22"/>
          <w:color w:val="auto"/>
        </w:rPr>
        <w:t>There were no changes in our internal control over financial reporting (as defined in Rules 13a-15(f) and 15d-15(f) of the Exchange Act) during the fiscal quarter ended December 31, 2025 that have materially affected, or is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10b5-1 Plans</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From time to time, our officers (as defined in Rule 16a–1(f)) and directors may enter into Rule 10b5-1 or non-Rule 10b5-1 trading arrangements (as each such term is defined in Item 408 of Regulation S-K). During the three months ended December 31, 2025, none of our directors or officers adopted or terminated a Rule 10b5-1 trading arrangement or a non-Rule 10b5-1 trading arrangement (as defined in Item 408(c) of Regulation S-K) during the quarterly period covered by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880" w:h="15480" w:orient="portrait"/>
          <w:cols w:equalWidth="0" w:num="1">
            <w:col w:w="10140"/>
          </w:cols>
          <w:pgMar w:left="820" w:top="6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162</w:t>
      </w:r>
    </w:p>
    <w:p>
      <w:pPr>
        <w:sectPr>
          <w:pgSz w:w="11880" w:h="15480" w:orient="portrait"/>
          <w:cols w:equalWidth="0" w:num="1">
            <w:col w:w="10140"/>
          </w:cols>
          <w:pgMar w:left="820" w:top="670" w:right="920" w:bottom="0" w:gutter="0" w:footer="0" w:header="0"/>
          <w:type w:val="continuous"/>
        </w:sectPr>
      </w:pPr>
    </w:p>
    <w:bookmarkStart w:id="166" w:name="page167"/>
    <w:bookmarkEnd w:id="166"/>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48" w:lineRule="exact"/>
        <w:rPr>
          <w:sz w:val="20"/>
          <w:szCs w:val="20"/>
          <w:color w:val="auto"/>
        </w:rPr>
      </w:pPr>
    </w:p>
    <w:p>
      <w:pPr>
        <w:jc w:val="both"/>
        <w:ind w:right="260"/>
        <w:spacing w:after="0" w:line="258" w:lineRule="auto"/>
        <w:rPr>
          <w:sz w:val="20"/>
          <w:szCs w:val="20"/>
          <w:color w:val="auto"/>
        </w:rPr>
      </w:pPr>
      <w:r>
        <w:rPr>
          <w:rFonts w:ascii="Arial" w:cs="Arial" w:eastAsia="Arial" w:hAnsi="Arial"/>
          <w:sz w:val="22"/>
          <w:szCs w:val="22"/>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22"/>
          <w:szCs w:val="22"/>
          <w:color w:val="auto"/>
        </w:rPr>
        <w:t>The information required under this item (excluding the information under the subheading “Pay Versus Performance”) is incorporated by reference to the information in our Proxy Statement for our 2026 Annual Meeting of Stockholders, which we will file with the SEC within 120 days of the end of the fiscal year to which this Annual Report relates.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right="260"/>
        <w:spacing w:after="0" w:line="258" w:lineRule="auto"/>
        <w:rPr>
          <w:sz w:val="20"/>
          <w:szCs w:val="20"/>
          <w:color w:val="auto"/>
        </w:rPr>
      </w:pPr>
      <w:r>
        <w:rPr>
          <w:rFonts w:ascii="Arial" w:cs="Arial" w:eastAsia="Arial" w:hAnsi="Arial"/>
          <w:sz w:val="22"/>
          <w:szCs w:val="22"/>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48" w:lineRule="exact"/>
        <w:rPr>
          <w:sz w:val="20"/>
          <w:szCs w:val="20"/>
          <w:color w:val="auto"/>
        </w:rPr>
      </w:pPr>
    </w:p>
    <w:p>
      <w:pPr>
        <w:jc w:val="both"/>
        <w:ind w:right="260"/>
        <w:spacing w:after="0" w:line="258" w:lineRule="auto"/>
        <w:rPr>
          <w:sz w:val="20"/>
          <w:szCs w:val="20"/>
          <w:color w:val="auto"/>
        </w:rPr>
      </w:pPr>
      <w:r>
        <w:rPr>
          <w:rFonts w:ascii="Arial" w:cs="Arial" w:eastAsia="Arial" w:hAnsi="Arial"/>
          <w:sz w:val="22"/>
          <w:szCs w:val="22"/>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48" w:lineRule="exact"/>
        <w:rPr>
          <w:sz w:val="20"/>
          <w:szCs w:val="20"/>
          <w:color w:val="auto"/>
        </w:rPr>
      </w:pPr>
    </w:p>
    <w:p>
      <w:pPr>
        <w:jc w:val="both"/>
        <w:ind w:right="260"/>
        <w:spacing w:after="0" w:line="258" w:lineRule="auto"/>
        <w:rPr>
          <w:sz w:val="20"/>
          <w:szCs w:val="20"/>
          <w:color w:val="auto"/>
        </w:rPr>
      </w:pPr>
      <w:r>
        <w:rPr>
          <w:rFonts w:ascii="Arial" w:cs="Arial" w:eastAsia="Arial" w:hAnsi="Arial"/>
          <w:sz w:val="22"/>
          <w:szCs w:val="22"/>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ectPr>
          <w:pgSz w:w="11880" w:h="15480" w:orient="portrait"/>
          <w:cols w:equalWidth="0" w:num="1">
            <w:col w:w="10220"/>
          </w:cols>
          <w:pgMar w:left="820" w:top="67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163</w:t>
      </w:r>
    </w:p>
    <w:p>
      <w:pPr>
        <w:sectPr>
          <w:pgSz w:w="11880" w:h="15480" w:orient="portrait"/>
          <w:cols w:equalWidth="0" w:num="1">
            <w:col w:w="10220"/>
          </w:cols>
          <w:pgMar w:left="820" w:top="670" w:right="840" w:bottom="0" w:gutter="0" w:footer="0" w:header="0"/>
          <w:type w:val="continuous"/>
        </w:sectPr>
      </w:pPr>
    </w:p>
    <w:bookmarkStart w:id="167" w:name="page168"/>
    <w:bookmarkEnd w:id="167"/>
    <w:p>
      <w:pPr>
        <w:ind w:left="4780"/>
        <w:spacing w:after="0"/>
        <w:rPr>
          <w:sz w:val="20"/>
          <w:szCs w:val="20"/>
          <w:color w:val="auto"/>
        </w:rPr>
      </w:pPr>
      <w:r>
        <w:rPr>
          <w:rFonts w:ascii="Arial" w:cs="Arial" w:eastAsia="Arial" w:hAnsi="Arial"/>
          <w:sz w:val="22"/>
          <w:szCs w:val="22"/>
          <w:b w:val="1"/>
          <w:bCs w:val="1"/>
          <w:color w:val="auto"/>
        </w:rPr>
        <w:t>Part IV</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245" w:lineRule="exact"/>
        <w:rPr>
          <w:sz w:val="20"/>
          <w:szCs w:val="20"/>
          <w:color w:val="auto"/>
        </w:rPr>
      </w:pPr>
    </w:p>
    <w:p>
      <w:pPr>
        <w:ind w:left="300" w:hanging="296"/>
        <w:spacing w:after="0"/>
        <w:tabs>
          <w:tab w:leader="none" w:pos="3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1. </w:t>
      </w:r>
      <w:r>
        <w:rPr>
          <w:rFonts w:ascii="Arial" w:cs="Arial" w:eastAsia="Arial" w:hAnsi="Arial"/>
          <w:sz w:val="22"/>
          <w:szCs w:val="22"/>
          <w:b w:val="1"/>
          <w:bCs w:val="1"/>
          <w:i w:val="1"/>
          <w:iCs w:val="1"/>
          <w:color w:val="auto"/>
        </w:rPr>
        <w:t>Financial Statements</w:t>
      </w: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22"/>
          <w:szCs w:val="22"/>
          <w:color w:val="auto"/>
        </w:rPr>
        <w:t>For a list of the financial statements included herein, see Index to the Consolidated Financial Statements on page 131 of this Annual Report, incorporated into this Item by reference.</w:t>
      </w:r>
    </w:p>
    <w:p>
      <w:pPr>
        <w:spacing w:after="0" w:line="178" w:lineRule="exact"/>
        <w:rPr>
          <w:sz w:val="20"/>
          <w:szCs w:val="20"/>
          <w:color w:val="auto"/>
        </w:rPr>
      </w:pPr>
    </w:p>
    <w:p>
      <w:pPr>
        <w:ind w:left="220" w:hanging="216"/>
        <w:spacing w:after="0"/>
        <w:tabs>
          <w:tab w:leader="none" w:pos="220" w:val="left"/>
        </w:tabs>
        <w:numPr>
          <w:ilvl w:val="0"/>
          <w:numId w:val="69"/>
        </w:numPr>
        <w:rPr>
          <w:rFonts w:ascii="Arial" w:cs="Arial" w:eastAsia="Arial" w:hAnsi="Arial"/>
          <w:sz w:val="22"/>
          <w:szCs w:val="22"/>
          <w:color w:val="auto"/>
        </w:rPr>
      </w:pPr>
      <w:r>
        <w:rPr>
          <w:rFonts w:ascii="Arial" w:cs="Arial" w:eastAsia="Arial" w:hAnsi="Arial"/>
          <w:sz w:val="22"/>
          <w:szCs w:val="22"/>
          <w:b w:val="1"/>
          <w:bCs w:val="1"/>
          <w:i w:val="1"/>
          <w:iCs w:val="1"/>
          <w:color w:val="auto"/>
        </w:rPr>
        <w:t>Financial Statement Schedules</w:t>
      </w:r>
    </w:p>
    <w:p>
      <w:pPr>
        <w:spacing w:after="0" w:line="245" w:lineRule="exact"/>
        <w:rPr>
          <w:sz w:val="20"/>
          <w:szCs w:val="20"/>
          <w:color w:val="auto"/>
        </w:rPr>
      </w:pPr>
    </w:p>
    <w:p>
      <w:pPr>
        <w:ind w:right="700"/>
        <w:spacing w:after="0" w:line="322" w:lineRule="auto"/>
        <w:rPr>
          <w:sz w:val="20"/>
          <w:szCs w:val="20"/>
          <w:color w:val="auto"/>
        </w:rPr>
      </w:pPr>
      <w:r>
        <w:rPr>
          <w:rFonts w:ascii="Arial" w:cs="Arial" w:eastAsia="Arial" w:hAnsi="Arial"/>
          <w:sz w:val="20"/>
          <w:szCs w:val="20"/>
          <w:color w:val="auto"/>
        </w:rPr>
        <w:t>Financial statement schedules have been omitted because they are either not required or not applicable or the information is included in the consolidated financial statements or the notes thereto.</w:t>
      </w:r>
    </w:p>
    <w:p>
      <w:pPr>
        <w:spacing w:after="0" w:line="132" w:lineRule="exact"/>
        <w:rPr>
          <w:sz w:val="20"/>
          <w:szCs w:val="20"/>
          <w:color w:val="auto"/>
        </w:rPr>
      </w:pPr>
    </w:p>
    <w:p>
      <w:pPr>
        <w:ind w:left="220" w:hanging="216"/>
        <w:spacing w:after="0"/>
        <w:tabs>
          <w:tab w:leader="none" w:pos="220" w:val="left"/>
        </w:tabs>
        <w:numPr>
          <w:ilvl w:val="0"/>
          <w:numId w:val="70"/>
        </w:numPr>
        <w:rPr>
          <w:rFonts w:ascii="Arial" w:cs="Arial" w:eastAsia="Arial" w:hAnsi="Arial"/>
          <w:sz w:val="22"/>
          <w:szCs w:val="22"/>
          <w:color w:val="auto"/>
        </w:rPr>
      </w:pPr>
      <w:r>
        <w:rPr>
          <w:rFonts w:ascii="Arial" w:cs="Arial" w:eastAsia="Arial" w:hAnsi="Arial"/>
          <w:sz w:val="22"/>
          <w:szCs w:val="22"/>
          <w:b w:val="1"/>
          <w:bCs w:val="1"/>
          <w:i w:val="1"/>
          <w:iCs w:val="1"/>
          <w:color w:val="auto"/>
        </w:rPr>
        <w:t>Exhibits</w:t>
      </w:r>
    </w:p>
    <w:p>
      <w:pPr>
        <w:spacing w:after="0" w:line="245" w:lineRule="exact"/>
        <w:rPr>
          <w:sz w:val="20"/>
          <w:szCs w:val="20"/>
          <w:color w:val="auto"/>
        </w:rPr>
      </w:pPr>
    </w:p>
    <w:p>
      <w:pPr>
        <w:ind w:right="200"/>
        <w:spacing w:after="0" w:line="271" w:lineRule="auto"/>
        <w:rPr>
          <w:sz w:val="20"/>
          <w:szCs w:val="20"/>
          <w:color w:val="auto"/>
        </w:rPr>
      </w:pPr>
      <w:r>
        <w:rPr>
          <w:rFonts w:ascii="Arial" w:cs="Arial" w:eastAsia="Arial" w:hAnsi="Arial"/>
          <w:sz w:val="22"/>
          <w:szCs w:val="22"/>
          <w:color w:val="auto"/>
        </w:rPr>
        <w:t>The exhibits required by Item 601 of Regulation S-K and Item 15(b) of this Annual Report are listed in the Exhibit Index below. The exhibits listed in the Exhibit Index are incorporated by reference herein.</w:t>
      </w:r>
    </w:p>
    <w:p>
      <w:pPr>
        <w:sectPr>
          <w:pgSz w:w="11880" w:h="15480" w:orient="portrait"/>
          <w:cols w:equalWidth="0" w:num="1">
            <w:col w:w="10100"/>
          </w:cols>
          <w:pgMar w:left="820" w:top="67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164</w:t>
      </w:r>
    </w:p>
    <w:p>
      <w:pPr>
        <w:sectPr>
          <w:pgSz w:w="11880" w:h="15480" w:orient="portrait"/>
          <w:cols w:equalWidth="0" w:num="1">
            <w:col w:w="10100"/>
          </w:cols>
          <w:pgMar w:left="820" w:top="670" w:right="960" w:bottom="0" w:gutter="0" w:footer="0" w:header="0"/>
          <w:type w:val="continuous"/>
        </w:sectPr>
      </w:pPr>
    </w:p>
    <w:bookmarkStart w:id="168" w:name="page169"/>
    <w:bookmarkEnd w:id="168"/>
    <w:p>
      <w:pPr>
        <w:spacing w:after="0"/>
        <w:rPr>
          <w:sz w:val="20"/>
          <w:szCs w:val="20"/>
          <w:color w:val="auto"/>
        </w:rPr>
      </w:pPr>
      <w:r>
        <w:rPr>
          <w:rFonts w:ascii="Arial" w:cs="Arial" w:eastAsia="Arial" w:hAnsi="Arial"/>
          <w:sz w:val="22"/>
          <w:szCs w:val="22"/>
          <w:b w:val="1"/>
          <w:bCs w:val="1"/>
          <w:color w:val="auto"/>
        </w:rPr>
        <w:t>(b) Exhibit Index</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40" w:type="dxa"/>
            <w:vAlign w:val="bottom"/>
          </w:tcPr>
          <w:p>
            <w:pPr>
              <w:ind w:left="60"/>
              <w:spacing w:after="0"/>
              <w:rPr>
                <w:sz w:val="20"/>
                <w:szCs w:val="20"/>
                <w:color w:val="auto"/>
              </w:rPr>
            </w:pPr>
            <w:r>
              <w:rPr>
                <w:rFonts w:ascii="Arial" w:cs="Arial" w:eastAsia="Arial" w:hAnsi="Arial"/>
                <w:sz w:val="20"/>
                <w:szCs w:val="20"/>
                <w:b w:val="1"/>
                <w:bCs w:val="1"/>
                <w:color w:val="auto"/>
              </w:rPr>
              <w:t>Exhibit</w:t>
            </w:r>
          </w:p>
        </w:tc>
        <w:tc>
          <w:tcPr>
            <w:tcW w:w="60" w:type="dxa"/>
            <w:vAlign w:val="bottom"/>
          </w:tcPr>
          <w:p>
            <w:pPr>
              <w:spacing w:after="0"/>
              <w:rPr>
                <w:sz w:val="22"/>
                <w:szCs w:val="22"/>
                <w:color w:val="auto"/>
              </w:rPr>
            </w:pPr>
          </w:p>
        </w:tc>
        <w:tc>
          <w:tcPr>
            <w:tcW w:w="9240" w:type="dxa"/>
            <w:vAlign w:val="bottom"/>
          </w:tcPr>
          <w:p>
            <w:pPr>
              <w:spacing w:after="0"/>
              <w:rPr>
                <w:sz w:val="22"/>
                <w:szCs w:val="22"/>
                <w:color w:val="auto"/>
              </w:rPr>
            </w:pPr>
          </w:p>
        </w:tc>
      </w:tr>
      <w:tr>
        <w:trPr>
          <w:trHeight w:val="276"/>
        </w:trPr>
        <w:tc>
          <w:tcPr>
            <w:tcW w:w="9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No.</w:t>
            </w:r>
          </w:p>
        </w:tc>
        <w:tc>
          <w:tcPr>
            <w:tcW w:w="60" w:type="dxa"/>
            <w:vAlign w:val="bottom"/>
          </w:tcPr>
          <w:p>
            <w:pPr>
              <w:spacing w:after="0"/>
              <w:rPr>
                <w:sz w:val="24"/>
                <w:szCs w:val="24"/>
                <w:color w:val="auto"/>
              </w:rPr>
            </w:pPr>
          </w:p>
        </w:tc>
        <w:tc>
          <w:tcPr>
            <w:tcW w:w="924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Exhibit Index</w:t>
            </w:r>
          </w:p>
        </w:tc>
      </w:tr>
      <w:tr>
        <w:trPr>
          <w:trHeight w:val="246"/>
        </w:trPr>
        <w:tc>
          <w:tcPr>
            <w:tcW w:w="940" w:type="dxa"/>
            <w:vAlign w:val="bottom"/>
          </w:tcPr>
          <w:p>
            <w:pPr>
              <w:ind w:left="60"/>
              <w:spacing w:after="0"/>
              <w:rPr>
                <w:sz w:val="20"/>
                <w:szCs w:val="20"/>
                <w:color w:val="auto"/>
              </w:rPr>
            </w:pPr>
            <w:r>
              <w:rPr>
                <w:rFonts w:ascii="Arial" w:cs="Arial" w:eastAsia="Arial" w:hAnsi="Arial"/>
                <w:sz w:val="20"/>
                <w:szCs w:val="20"/>
                <w:color w:val="auto"/>
              </w:rPr>
              <w:t>3.1</w:t>
            </w:r>
          </w:p>
        </w:tc>
        <w:tc>
          <w:tcPr>
            <w:tcW w:w="60" w:type="dxa"/>
            <w:vAlign w:val="bottom"/>
          </w:tcPr>
          <w:p>
            <w:pPr>
              <w:spacing w:after="0"/>
              <w:rPr>
                <w:sz w:val="21"/>
                <w:szCs w:val="21"/>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1"/>
              </w:rPr>
              <w:t>Fourth Amended and Restated Certificate of Incorporation of the Registrant, as currently in effect (incorporated by</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2"/>
              </w:rPr>
              <w:t>reference to Exhibit 3.1 of the Registrant’s Current Report on Form 8-K (File No. 001-39200) filed on February 3,</w:t>
            </w:r>
          </w:p>
        </w:tc>
      </w:tr>
      <w:tr>
        <w:trPr>
          <w:trHeight w:val="255"/>
        </w:trPr>
        <w:tc>
          <w:tcPr>
            <w:tcW w:w="940" w:type="dxa"/>
            <w:vAlign w:val="bottom"/>
          </w:tcPr>
          <w:p>
            <w:pPr>
              <w:spacing w:after="0"/>
              <w:rPr>
                <w:sz w:val="22"/>
                <w:szCs w:val="22"/>
                <w:color w:val="auto"/>
              </w:rPr>
            </w:pPr>
          </w:p>
        </w:tc>
        <w:tc>
          <w:tcPr>
            <w:tcW w:w="9300" w:type="dxa"/>
            <w:vAlign w:val="bottom"/>
            <w:gridSpan w:val="2"/>
          </w:tcPr>
          <w:p>
            <w:pPr>
              <w:ind w:left="120"/>
              <w:spacing w:after="0"/>
              <w:rPr>
                <w:sz w:val="20"/>
                <w:szCs w:val="20"/>
                <w:color w:val="auto"/>
              </w:rPr>
            </w:pPr>
            <w:r>
              <w:rPr>
                <w:rFonts w:ascii="Arial" w:cs="Arial" w:eastAsia="Arial" w:hAnsi="Arial"/>
                <w:sz w:val="20"/>
                <w:szCs w:val="20"/>
                <w:color w:val="auto"/>
              </w:rPr>
              <w:t>2020)</w:t>
            </w:r>
          </w:p>
        </w:tc>
      </w:tr>
      <w:tr>
        <w:trPr>
          <w:trHeight w:val="270"/>
        </w:trPr>
        <w:tc>
          <w:tcPr>
            <w:tcW w:w="940" w:type="dxa"/>
            <w:vAlign w:val="bottom"/>
          </w:tcPr>
          <w:p>
            <w:pPr>
              <w:ind w:left="60"/>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3"/>
                <w:szCs w:val="23"/>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6"/>
              </w:rPr>
              <w:t>Certificate of Amendment to the Fourth Amended and Restated Certificate of Incorporation of the Registrant</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0"/>
              </w:rPr>
              <w:t>(incorporated by reference to Exhibit 3.1 of the Registrant’s Current Report on Form 8-K (File No. 001-39200) filed</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on June 6, 2024)</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8"/>
              </w:rPr>
              <w:t>Second Amended and Restated By-laws of the Registrant (incorporated by reference to Exhibit 3.2 of the</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Registrant’s Annual Report on Form 10-K (File No. 001-39200) filed on March 12, 2024)</w:t>
            </w:r>
          </w:p>
        </w:tc>
      </w:tr>
      <w:tr>
        <w:trPr>
          <w:trHeight w:val="299"/>
        </w:trPr>
        <w:tc>
          <w:tcPr>
            <w:tcW w:w="940" w:type="dxa"/>
            <w:vAlign w:val="bottom"/>
          </w:tcPr>
          <w:p>
            <w:pPr>
              <w:ind w:left="60"/>
              <w:spacing w:after="0"/>
              <w:rPr>
                <w:sz w:val="20"/>
                <w:szCs w:val="20"/>
                <w:color w:val="auto"/>
              </w:rPr>
            </w:pPr>
            <w:r>
              <w:rPr>
                <w:rFonts w:ascii="Arial" w:cs="Arial" w:eastAsia="Arial" w:hAnsi="Arial"/>
                <w:sz w:val="20"/>
                <w:szCs w:val="20"/>
                <w:color w:val="auto"/>
              </w:rPr>
              <w:t>4.1</w:t>
            </w:r>
          </w:p>
        </w:tc>
        <w:tc>
          <w:tcPr>
            <w:tcW w:w="60" w:type="dxa"/>
            <w:vAlign w:val="bottom"/>
          </w:tcPr>
          <w:p>
            <w:pPr>
              <w:spacing w:after="0"/>
              <w:rPr>
                <w:sz w:val="24"/>
                <w:szCs w:val="24"/>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0"/>
              </w:rPr>
              <w:t>Second Amended and Restated Investors’ Rights Agreement among the Registrant and certain of its stockholders,</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1"/>
              </w:rPr>
              <w:t>dated November 25, 2019 (incorporated by reference to Exhibit 4.1 of the Registrant’s Registration Statement on</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Form S-1 (File No. 333-235789) filed on January 3, 2020)</w:t>
            </w:r>
          </w:p>
        </w:tc>
      </w:tr>
      <w:tr>
        <w:trPr>
          <w:trHeight w:val="270"/>
        </w:trPr>
        <w:tc>
          <w:tcPr>
            <w:tcW w:w="940" w:type="dxa"/>
            <w:vAlign w:val="bottom"/>
          </w:tcPr>
          <w:p>
            <w:pPr>
              <w:ind w:left="60"/>
              <w:spacing w:after="0"/>
              <w:rPr>
                <w:sz w:val="20"/>
                <w:szCs w:val="20"/>
                <w:color w:val="auto"/>
              </w:rPr>
            </w:pPr>
            <w:r>
              <w:rPr>
                <w:rFonts w:ascii="Arial" w:cs="Arial" w:eastAsia="Arial" w:hAnsi="Arial"/>
                <w:sz w:val="20"/>
                <w:szCs w:val="20"/>
                <w:color w:val="auto"/>
              </w:rPr>
              <w:t>4.2</w:t>
            </w:r>
          </w:p>
        </w:tc>
        <w:tc>
          <w:tcPr>
            <w:tcW w:w="60" w:type="dxa"/>
            <w:vAlign w:val="bottom"/>
          </w:tcPr>
          <w:p>
            <w:pPr>
              <w:spacing w:after="0"/>
              <w:rPr>
                <w:sz w:val="23"/>
                <w:szCs w:val="23"/>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88"/>
              </w:rPr>
              <w:t>Warrant to Purchase Stock, dated September 21, 2016, issued by the Registrant to Roche Finance Ltd (incorporated</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2"/>
              </w:rPr>
              <w:t>by reference to Exhibit 4.3 of the Registrant’s Registration Statement on Form S-1 (File No. 333-235789) filed on</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January 3, 2020)</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1"/>
              </w:rPr>
              <w:t>Description of Securities (incorporated by reference to Exhibit 4.3 of the Registrant’s Annual Report on Form 10-K</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(File No. 001-39200) filed on March 12, 2024)</w:t>
            </w:r>
          </w:p>
        </w:tc>
      </w:tr>
      <w:tr>
        <w:trPr>
          <w:trHeight w:val="252"/>
        </w:trPr>
        <w:tc>
          <w:tcPr>
            <w:tcW w:w="940" w:type="dxa"/>
            <w:vAlign w:val="bottom"/>
          </w:tcPr>
          <w:p>
            <w:pPr>
              <w:ind w:left="60"/>
              <w:spacing w:after="0"/>
              <w:rPr>
                <w:sz w:val="20"/>
                <w:szCs w:val="20"/>
                <w:color w:val="auto"/>
              </w:rPr>
            </w:pPr>
            <w:r>
              <w:rPr>
                <w:rFonts w:ascii="Arial" w:cs="Arial" w:eastAsia="Arial" w:hAnsi="Arial"/>
                <w:sz w:val="20"/>
                <w:szCs w:val="20"/>
                <w:color w:val="auto"/>
              </w:rPr>
              <w:t>10.1#</w:t>
            </w:r>
          </w:p>
        </w:tc>
        <w:tc>
          <w:tcPr>
            <w:tcW w:w="60" w:type="dxa"/>
            <w:vAlign w:val="bottom"/>
          </w:tcPr>
          <w:p>
            <w:pPr>
              <w:spacing w:after="0"/>
              <w:rPr>
                <w:sz w:val="21"/>
                <w:szCs w:val="21"/>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4"/>
              </w:rPr>
              <w:t>2017 Employee, Director and Consultant Equity Incentive Plan, as amended and restated, and forms of award</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3"/>
              </w:rPr>
              <w:t>agreements thereunder (incorporated by reference to Exhibit 10.1 of the Registrant’s Registration Statement on</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Form S-1 (File No. 333-235789) filed on January 3, 2020)</w:t>
            </w:r>
          </w:p>
        </w:tc>
      </w:tr>
      <w:tr>
        <w:trPr>
          <w:trHeight w:val="270"/>
        </w:trPr>
        <w:tc>
          <w:tcPr>
            <w:tcW w:w="940" w:type="dxa"/>
            <w:vAlign w:val="bottom"/>
          </w:tcPr>
          <w:p>
            <w:pPr>
              <w:ind w:left="60"/>
              <w:spacing w:after="0"/>
              <w:rPr>
                <w:sz w:val="20"/>
                <w:szCs w:val="20"/>
                <w:color w:val="auto"/>
              </w:rPr>
            </w:pPr>
            <w:r>
              <w:rPr>
                <w:rFonts w:ascii="Arial" w:cs="Arial" w:eastAsia="Arial" w:hAnsi="Arial"/>
                <w:sz w:val="20"/>
                <w:szCs w:val="20"/>
                <w:color w:val="auto"/>
              </w:rPr>
              <w:t>10.2#</w:t>
            </w:r>
          </w:p>
        </w:tc>
        <w:tc>
          <w:tcPr>
            <w:tcW w:w="60" w:type="dxa"/>
            <w:vAlign w:val="bottom"/>
          </w:tcPr>
          <w:p>
            <w:pPr>
              <w:spacing w:after="0"/>
              <w:rPr>
                <w:sz w:val="23"/>
                <w:szCs w:val="23"/>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2"/>
              </w:rPr>
              <w:t>2020 Stock Option and Incentive Plan and forms of award agreements thereunder (incorporated by reference to</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1"/>
              </w:rPr>
              <w:t>Exhibit 10.2 of the Registrant’s Registration Statement on Form S-1/A (File No. 333-235789) filed on January 21,</w:t>
            </w:r>
          </w:p>
        </w:tc>
      </w:tr>
      <w:tr>
        <w:trPr>
          <w:trHeight w:val="255"/>
        </w:trPr>
        <w:tc>
          <w:tcPr>
            <w:tcW w:w="940" w:type="dxa"/>
            <w:vAlign w:val="bottom"/>
          </w:tcPr>
          <w:p>
            <w:pPr>
              <w:spacing w:after="0"/>
              <w:rPr>
                <w:sz w:val="22"/>
                <w:szCs w:val="22"/>
                <w:color w:val="auto"/>
              </w:rPr>
            </w:pPr>
          </w:p>
        </w:tc>
        <w:tc>
          <w:tcPr>
            <w:tcW w:w="9300" w:type="dxa"/>
            <w:vAlign w:val="bottom"/>
            <w:gridSpan w:val="2"/>
          </w:tcPr>
          <w:p>
            <w:pPr>
              <w:ind w:left="120"/>
              <w:spacing w:after="0"/>
              <w:rPr>
                <w:sz w:val="20"/>
                <w:szCs w:val="20"/>
                <w:color w:val="auto"/>
              </w:rPr>
            </w:pPr>
            <w:r>
              <w:rPr>
                <w:rFonts w:ascii="Arial" w:cs="Arial" w:eastAsia="Arial" w:hAnsi="Arial"/>
                <w:sz w:val="20"/>
                <w:szCs w:val="20"/>
                <w:color w:val="auto"/>
              </w:rPr>
              <w:t>2020)</w:t>
            </w:r>
          </w:p>
        </w:tc>
      </w:tr>
      <w:tr>
        <w:trPr>
          <w:trHeight w:val="270"/>
        </w:trPr>
        <w:tc>
          <w:tcPr>
            <w:tcW w:w="940" w:type="dxa"/>
            <w:vAlign w:val="bottom"/>
          </w:tcPr>
          <w:p>
            <w:pPr>
              <w:ind w:left="60"/>
              <w:spacing w:after="0"/>
              <w:rPr>
                <w:sz w:val="20"/>
                <w:szCs w:val="20"/>
                <w:color w:val="auto"/>
              </w:rPr>
            </w:pPr>
            <w:r>
              <w:rPr>
                <w:rFonts w:ascii="Arial" w:cs="Arial" w:eastAsia="Arial" w:hAnsi="Arial"/>
                <w:sz w:val="20"/>
                <w:szCs w:val="20"/>
                <w:color w:val="auto"/>
              </w:rPr>
              <w:t>10.3#</w:t>
            </w:r>
          </w:p>
        </w:tc>
        <w:tc>
          <w:tcPr>
            <w:tcW w:w="60" w:type="dxa"/>
            <w:vAlign w:val="bottom"/>
          </w:tcPr>
          <w:p>
            <w:pPr>
              <w:spacing w:after="0"/>
              <w:rPr>
                <w:sz w:val="23"/>
                <w:szCs w:val="23"/>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7"/>
              </w:rPr>
              <w:t>Senior Executive Cash Incentive Bonus Plan (incorporated by reference to Exhibit 10.3 of the Registrant’s</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Registration Statement on Form S-1 (File No. 333-235789) filed on January 3, 2020)</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10.4#</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2"/>
              </w:rPr>
              <w:t>2020 Employee Stock Purchase Plan, as amended (incorporated by reference to Exhibit 10.4 of the Registrant’s</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Annual Report on Form 10-K (File No. 001-39200) filed on March 12, 2024</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10.5#</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Form of Officer Indemnification Agreement (incorporated by reference to Exhibit 10.5 of the Registrant’s</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Registration Statement on Form S-1 (File No. 333-235789) filed on January 3, 2020)</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10.6#</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8"/>
              </w:rPr>
              <w:t>Form of Director Indemnification Agreement (incorporated by reference to Exhibit 10.6 of the Registrant’s</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Registration Statement on Form S-1 (File No. 333-235789) filed on January 3, 2020)</w:t>
            </w:r>
          </w:p>
        </w:tc>
      </w:tr>
      <w:tr>
        <w:trPr>
          <w:trHeight w:val="231"/>
        </w:trPr>
        <w:tc>
          <w:tcPr>
            <w:tcW w:w="940" w:type="dxa"/>
            <w:vAlign w:val="bottom"/>
          </w:tcPr>
          <w:p>
            <w:pPr>
              <w:ind w:left="60"/>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89"/>
              </w:rPr>
              <w:t>Employment Agreement between the Registrant and Brent Hatzis-Schoch (incorporated by reference to Exhibit 10.8</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of the Registrant’s Registration Statement on Form S-1 (File No. 333-235789) filed on January 3, 2020)</w:t>
            </w:r>
          </w:p>
        </w:tc>
      </w:tr>
      <w:tr>
        <w:trPr>
          <w:trHeight w:val="230"/>
        </w:trPr>
        <w:tc>
          <w:tcPr>
            <w:tcW w:w="940" w:type="dxa"/>
            <w:vAlign w:val="bottom"/>
          </w:tcPr>
          <w:p>
            <w:pPr>
              <w:ind w:left="60"/>
              <w:spacing w:after="0"/>
              <w:rPr>
                <w:sz w:val="20"/>
                <w:szCs w:val="20"/>
                <w:color w:val="auto"/>
              </w:rPr>
            </w:pPr>
            <w:r>
              <w:rPr>
                <w:rFonts w:ascii="Arial" w:cs="Arial" w:eastAsia="Arial" w:hAnsi="Arial"/>
                <w:sz w:val="20"/>
                <w:szCs w:val="20"/>
                <w:color w:val="auto"/>
              </w:rPr>
              <w:t>10.8#</w:t>
            </w:r>
          </w:p>
        </w:tc>
        <w:tc>
          <w:tcPr>
            <w:tcW w:w="6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1"/>
              </w:rPr>
              <w:t>Employment Agreement between the Registrant and Elizabeth Buck (incorporated by reference to Exhibit 10.1 of</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the Registrant’s Quarterly Report on Form 10-Q (File No. 001-39200) filed on August 12, 2021)</w:t>
            </w:r>
          </w:p>
        </w:tc>
      </w:tr>
      <w:tr>
        <w:trPr>
          <w:trHeight w:val="259"/>
        </w:trPr>
        <w:tc>
          <w:tcPr>
            <w:tcW w:w="940" w:type="dxa"/>
            <w:vAlign w:val="bottom"/>
          </w:tcPr>
          <w:p>
            <w:pPr>
              <w:ind w:left="60"/>
              <w:spacing w:after="0"/>
              <w:rPr>
                <w:sz w:val="20"/>
                <w:szCs w:val="20"/>
                <w:color w:val="auto"/>
              </w:rPr>
            </w:pPr>
            <w:r>
              <w:rPr>
                <w:rFonts w:ascii="Arial" w:cs="Arial" w:eastAsia="Arial" w:hAnsi="Arial"/>
                <w:sz w:val="20"/>
                <w:szCs w:val="20"/>
                <w:color w:val="auto"/>
              </w:rPr>
              <w:t>10.9#</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0"/>
              </w:rPr>
              <w:t>Employment Agreement between the Registrant and Sergey Yurasov (incorporated by reference to Exhibit 10.1 of</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the Registrant’s Quarterly Report on Form 10-Q (File No. 001-39200) filed on August 9, 2022)</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10.10#</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0"/>
              </w:rPr>
              <w:t>Employment Agreement between the Registrant and Melanie Morrison (incorporated by reference to Exhibit 10.11</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of the Registrant’s Annual Report on Form 10-K (File No. 001-39200) filed on March 12, 2024)</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10.11#</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6"/>
              </w:rPr>
              <w:t>Employment Agreement between the Registrant and Erika Jones, as amended by Amendment No. 1 to the</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88"/>
              </w:rPr>
              <w:t>Employment Agreement between the Registrant and Erika Jones, dated October 30, 2024 (incorporated by reference</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4"/>
              </w:rPr>
              <w:t>to Exhibit 10.12 of the Registrant’s Quarterly Report on Form 10-Q (File No. 001-39200) filed on November 5,</w:t>
            </w:r>
          </w:p>
        </w:tc>
      </w:tr>
      <w:tr>
        <w:trPr>
          <w:trHeight w:val="255"/>
        </w:trPr>
        <w:tc>
          <w:tcPr>
            <w:tcW w:w="940" w:type="dxa"/>
            <w:vAlign w:val="bottom"/>
          </w:tcPr>
          <w:p>
            <w:pPr>
              <w:spacing w:after="0"/>
              <w:rPr>
                <w:sz w:val="22"/>
                <w:szCs w:val="22"/>
                <w:color w:val="auto"/>
              </w:rPr>
            </w:pPr>
          </w:p>
        </w:tc>
        <w:tc>
          <w:tcPr>
            <w:tcW w:w="9300" w:type="dxa"/>
            <w:vAlign w:val="bottom"/>
            <w:gridSpan w:val="2"/>
          </w:tcPr>
          <w:p>
            <w:pPr>
              <w:ind w:left="120"/>
              <w:spacing w:after="0"/>
              <w:rPr>
                <w:sz w:val="20"/>
                <w:szCs w:val="20"/>
                <w:color w:val="auto"/>
              </w:rPr>
            </w:pPr>
            <w:r>
              <w:rPr>
                <w:rFonts w:ascii="Arial" w:cs="Arial" w:eastAsia="Arial" w:hAnsi="Arial"/>
                <w:sz w:val="20"/>
                <w:szCs w:val="20"/>
                <w:color w:val="auto"/>
              </w:rPr>
              <w:t>2024)</w:t>
            </w:r>
          </w:p>
        </w:tc>
      </w:tr>
      <w:tr>
        <w:trPr>
          <w:trHeight w:val="279"/>
        </w:trPr>
        <w:tc>
          <w:tcPr>
            <w:tcW w:w="940" w:type="dxa"/>
            <w:vAlign w:val="bottom"/>
          </w:tcPr>
          <w:p>
            <w:pPr>
              <w:ind w:left="60"/>
              <w:spacing w:after="0"/>
              <w:rPr>
                <w:sz w:val="20"/>
                <w:szCs w:val="20"/>
                <w:color w:val="auto"/>
              </w:rPr>
            </w:pPr>
            <w:r>
              <w:rPr>
                <w:rFonts w:ascii="Arial" w:cs="Arial" w:eastAsia="Arial" w:hAnsi="Arial"/>
                <w:sz w:val="20"/>
                <w:szCs w:val="20"/>
                <w:color w:val="auto"/>
              </w:rPr>
              <w:t>10.12#</w:t>
            </w:r>
          </w:p>
        </w:tc>
        <w:tc>
          <w:tcPr>
            <w:tcW w:w="60" w:type="dxa"/>
            <w:vAlign w:val="bottom"/>
          </w:tcPr>
          <w:p>
            <w:pPr>
              <w:spacing w:after="0"/>
              <w:rPr>
                <w:sz w:val="24"/>
                <w:szCs w:val="24"/>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1"/>
              </w:rPr>
              <w:t>Employment Agreement between the Registrant and Mark A. Velleca (incorporated by reference to Exhibit 10.2 of</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the Registrant’s Current Report on Form 8-K (File No. 001-39200) filed on September 18, 2023)</w:t>
            </w:r>
          </w:p>
        </w:tc>
      </w:tr>
      <w:tr>
        <w:trPr>
          <w:trHeight w:val="260"/>
        </w:trPr>
        <w:tc>
          <w:tcPr>
            <w:tcW w:w="940" w:type="dxa"/>
            <w:vAlign w:val="bottom"/>
          </w:tcPr>
          <w:p>
            <w:pPr>
              <w:ind w:left="60"/>
              <w:spacing w:after="0"/>
              <w:rPr>
                <w:sz w:val="20"/>
                <w:szCs w:val="20"/>
                <w:color w:val="auto"/>
              </w:rPr>
            </w:pPr>
            <w:r>
              <w:rPr>
                <w:rFonts w:ascii="Arial" w:cs="Arial" w:eastAsia="Arial" w:hAnsi="Arial"/>
                <w:sz w:val="20"/>
                <w:szCs w:val="20"/>
                <w:color w:val="auto"/>
              </w:rPr>
              <w:t>10.13#+</w:t>
            </w: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0"/>
              </w:rPr>
              <w:t>Amended and Restated Non-Employee Director Compensation Plan, effective February 14, 2024 (incorporated by</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3"/>
              </w:rPr>
              <w:t>reference to Exhibit 10.15 of the Registrant’s Annual Report on Form 10-K (File No. 001-39200) filed on March</w:t>
            </w:r>
          </w:p>
        </w:tc>
      </w:tr>
      <w:tr>
        <w:trPr>
          <w:trHeight w:val="255"/>
        </w:trPr>
        <w:tc>
          <w:tcPr>
            <w:tcW w:w="940" w:type="dxa"/>
            <w:vAlign w:val="bottom"/>
          </w:tcPr>
          <w:p>
            <w:pPr>
              <w:spacing w:after="0"/>
              <w:rPr>
                <w:sz w:val="22"/>
                <w:szCs w:val="22"/>
                <w:color w:val="auto"/>
              </w:rPr>
            </w:pPr>
          </w:p>
        </w:tc>
        <w:tc>
          <w:tcPr>
            <w:tcW w:w="9300" w:type="dxa"/>
            <w:vAlign w:val="bottom"/>
            <w:gridSpan w:val="2"/>
          </w:tcPr>
          <w:p>
            <w:pPr>
              <w:ind w:left="120"/>
              <w:spacing w:after="0"/>
              <w:rPr>
                <w:sz w:val="20"/>
                <w:szCs w:val="20"/>
                <w:color w:val="auto"/>
              </w:rPr>
            </w:pPr>
            <w:r>
              <w:rPr>
                <w:rFonts w:ascii="Arial" w:cs="Arial" w:eastAsia="Arial" w:hAnsi="Arial"/>
                <w:sz w:val="20"/>
                <w:szCs w:val="20"/>
                <w:color w:val="auto"/>
              </w:rPr>
              <w:t>12, 2024)</w:t>
            </w:r>
          </w:p>
        </w:tc>
      </w:tr>
      <w:tr>
        <w:trPr>
          <w:trHeight w:val="270"/>
        </w:trPr>
        <w:tc>
          <w:tcPr>
            <w:tcW w:w="940" w:type="dxa"/>
            <w:vAlign w:val="bottom"/>
          </w:tcPr>
          <w:p>
            <w:pPr>
              <w:ind w:left="60"/>
              <w:spacing w:after="0"/>
              <w:rPr>
                <w:sz w:val="20"/>
                <w:szCs w:val="20"/>
                <w:color w:val="auto"/>
              </w:rPr>
            </w:pPr>
            <w:r>
              <w:rPr>
                <w:rFonts w:ascii="Arial" w:cs="Arial" w:eastAsia="Arial" w:hAnsi="Arial"/>
                <w:sz w:val="20"/>
                <w:szCs w:val="20"/>
                <w:color w:val="auto"/>
              </w:rPr>
              <w:t>10.14+</w:t>
            </w:r>
          </w:p>
        </w:tc>
        <w:tc>
          <w:tcPr>
            <w:tcW w:w="60" w:type="dxa"/>
            <w:vAlign w:val="bottom"/>
          </w:tcPr>
          <w:p>
            <w:pPr>
              <w:spacing w:after="0"/>
              <w:rPr>
                <w:sz w:val="23"/>
                <w:szCs w:val="23"/>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w w:val="97"/>
              </w:rPr>
              <w:t>Lease Agreement, dated as of July 24, 2020, by and between RREEF America REIT II Corp. PPP and the</w:t>
            </w:r>
          </w:p>
        </w:tc>
      </w:tr>
      <w:tr>
        <w:trPr>
          <w:trHeight w:val="225"/>
        </w:trPr>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40" w:type="dxa"/>
            <w:vAlign w:val="bottom"/>
          </w:tcPr>
          <w:p>
            <w:pPr>
              <w:ind w:left="60"/>
              <w:spacing w:after="0" w:line="226" w:lineRule="exact"/>
              <w:rPr>
                <w:sz w:val="20"/>
                <w:szCs w:val="20"/>
                <w:color w:val="auto"/>
              </w:rPr>
            </w:pPr>
            <w:r>
              <w:rPr>
                <w:rFonts w:ascii="Arial" w:cs="Arial" w:eastAsia="Arial" w:hAnsi="Arial"/>
                <w:sz w:val="20"/>
                <w:szCs w:val="20"/>
                <w:color w:val="auto"/>
                <w:w w:val="92"/>
              </w:rPr>
              <w:t>Registrant (incorporated by reference to Exhibit 10.1 of the Registrant’s Quarterly Report on Form 10-Q (File No.</w:t>
            </w:r>
          </w:p>
        </w:tc>
      </w:tr>
      <w:tr>
        <w:trPr>
          <w:trHeight w:val="255"/>
        </w:trPr>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40" w:type="dxa"/>
            <w:vAlign w:val="bottom"/>
          </w:tcPr>
          <w:p>
            <w:pPr>
              <w:ind w:left="60"/>
              <w:spacing w:after="0"/>
              <w:rPr>
                <w:sz w:val="20"/>
                <w:szCs w:val="20"/>
                <w:color w:val="auto"/>
              </w:rPr>
            </w:pPr>
            <w:r>
              <w:rPr>
                <w:rFonts w:ascii="Arial" w:cs="Arial" w:eastAsia="Arial" w:hAnsi="Arial"/>
                <w:sz w:val="20"/>
                <w:szCs w:val="20"/>
                <w:color w:val="auto"/>
              </w:rPr>
              <w:t>001-39200) filed on August 11, 2020)</w:t>
            </w:r>
          </w:p>
        </w:tc>
      </w:tr>
    </w:tbl>
    <w:p>
      <w:pPr>
        <w:spacing w:after="0" w:line="200" w:lineRule="exact"/>
        <w:rPr>
          <w:sz w:val="20"/>
          <w:szCs w:val="20"/>
          <w:color w:val="auto"/>
        </w:rPr>
      </w:pP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165</w:t>
      </w:r>
    </w:p>
    <w:p>
      <w:pPr>
        <w:sectPr>
          <w:pgSz w:w="11880" w:h="15480" w:orient="portrait"/>
          <w:cols w:equalWidth="0" w:num="1">
            <w:col w:w="10240"/>
          </w:cols>
          <w:pgMar w:left="820" w:top="670" w:right="820" w:bottom="0" w:gutter="0" w:footer="0" w:header="0"/>
          <w:type w:val="continuous"/>
        </w:sectPr>
      </w:pPr>
    </w:p>
    <w:bookmarkStart w:id="169" w:name="page170"/>
    <w:bookmarkEnd w:id="169"/>
    <w:p>
      <w:pPr>
        <w:ind w:left="1060" w:right="40" w:hanging="999"/>
        <w:spacing w:after="0" w:line="224" w:lineRule="auto"/>
        <w:tabs>
          <w:tab w:leader="none" w:pos="1040" w:val="left"/>
        </w:tabs>
        <w:rPr>
          <w:sz w:val="20"/>
          <w:szCs w:val="20"/>
          <w:color w:val="auto"/>
        </w:rPr>
      </w:pPr>
      <w:r>
        <w:rPr>
          <w:rFonts w:ascii="Arial" w:cs="Arial" w:eastAsia="Arial" w:hAnsi="Arial"/>
          <w:sz w:val="20"/>
          <w:szCs w:val="20"/>
          <w:color w:val="auto"/>
        </w:rPr>
        <w:t>10.15+†</w:t>
      </w:r>
      <w:r>
        <w:rPr>
          <w:sz w:val="20"/>
          <w:szCs w:val="20"/>
          <w:color w:val="auto"/>
        </w:rPr>
        <w:tab/>
      </w:r>
      <w:r>
        <w:rPr>
          <w:rFonts w:ascii="Arial" w:cs="Arial" w:eastAsia="Arial" w:hAnsi="Arial"/>
          <w:sz w:val="20"/>
          <w:szCs w:val="20"/>
          <w:color w:val="auto"/>
        </w:rPr>
        <w:t>License Agreement, dated as of March 18, 2025, by and between Servier Pharmaceuticals LLC and the Registrant (incorporated by reference to Exhibit 10.1 of the Registrant’s Quarterly Report on Form 10-Q (File No. 001-39200) filed on May 12, 2025)</w:t>
      </w:r>
    </w:p>
    <w:p>
      <w:pPr>
        <w:spacing w:after="0" w:line="47" w:lineRule="exact"/>
        <w:rPr>
          <w:sz w:val="20"/>
          <w:szCs w:val="20"/>
          <w:color w:val="auto"/>
        </w:rPr>
      </w:pPr>
    </w:p>
    <w:p>
      <w:pPr>
        <w:ind w:left="1060" w:right="900" w:hanging="1004"/>
        <w:spacing w:after="0" w:line="255" w:lineRule="auto"/>
        <w:tabs>
          <w:tab w:leader="none" w:pos="10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Black Diamond Therapeutics, Inc. Insider Trading Policy (incorporated by reference to Exhibit 19 of the Registrant’s Annual Report on Form 10-K (File No. 001-39200) filed on March 6, 2025)</w:t>
      </w:r>
    </w:p>
    <w:tbl>
      <w:tblPr>
        <w:tblLayout w:type="fixed"/>
        <w:tblInd w:w="60" w:type="dxa"/>
        <w:tblCellMar>
          <w:top w:w="0" w:type="dxa"/>
          <w:left w:w="0" w:type="dxa"/>
          <w:bottom w:w="0" w:type="dxa"/>
          <w:right w:w="0" w:type="dxa"/>
        </w:tblCellMar>
      </w:tblPr>
      <w:tr>
        <w:trPr>
          <w:trHeight w:val="217"/>
        </w:trPr>
        <w:tc>
          <w:tcPr>
            <w:tcW w:w="880" w:type="dxa"/>
            <w:vAlign w:val="bottom"/>
          </w:tcPr>
          <w:p>
            <w:pPr>
              <w:spacing w:after="0" w:line="217" w:lineRule="exact"/>
              <w:rPr>
                <w:sz w:val="20"/>
                <w:szCs w:val="20"/>
                <w:color w:val="auto"/>
              </w:rPr>
            </w:pPr>
            <w:r>
              <w:rPr>
                <w:rFonts w:ascii="Arial" w:cs="Arial" w:eastAsia="Arial" w:hAnsi="Arial"/>
                <w:sz w:val="20"/>
                <w:szCs w:val="20"/>
                <w:color w:val="auto"/>
              </w:rPr>
              <w:t>21.1</w:t>
            </w:r>
          </w:p>
        </w:tc>
        <w:tc>
          <w:tcPr>
            <w:tcW w:w="9220" w:type="dxa"/>
            <w:vAlign w:val="bottom"/>
          </w:tcPr>
          <w:p>
            <w:pPr>
              <w:ind w:left="120"/>
              <w:spacing w:after="0" w:line="217" w:lineRule="exact"/>
              <w:rPr>
                <w:sz w:val="20"/>
                <w:szCs w:val="20"/>
                <w:color w:val="auto"/>
              </w:rPr>
            </w:pPr>
            <w:r>
              <w:rPr>
                <w:rFonts w:ascii="Arial" w:cs="Arial" w:eastAsia="Arial" w:hAnsi="Arial"/>
                <w:sz w:val="20"/>
                <w:szCs w:val="20"/>
                <w:color w:val="auto"/>
                <w:w w:val="89"/>
              </w:rPr>
              <w:t>Subsidiaries of the Registrant (incorporated by reference to Exhibit 21.1 of the Registrant’s Annual Report on Form</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10-K (File No. 001-39200) filed on March 12, 2024)</w:t>
            </w:r>
          </w:p>
        </w:tc>
      </w:tr>
      <w:tr>
        <w:trPr>
          <w:trHeight w:val="288"/>
        </w:trPr>
        <w:tc>
          <w:tcPr>
            <w:tcW w:w="880" w:type="dxa"/>
            <w:vAlign w:val="bottom"/>
          </w:tcPr>
          <w:p>
            <w:pPr>
              <w:spacing w:after="0"/>
              <w:rPr>
                <w:sz w:val="20"/>
                <w:szCs w:val="20"/>
                <w:color w:val="auto"/>
              </w:rPr>
            </w:pPr>
            <w:r>
              <w:rPr>
                <w:rFonts w:ascii="Arial" w:cs="Arial" w:eastAsia="Arial" w:hAnsi="Arial"/>
                <w:sz w:val="20"/>
                <w:szCs w:val="20"/>
                <w:color w:val="auto"/>
              </w:rPr>
              <w:t>23.1*</w:t>
            </w:r>
          </w:p>
        </w:tc>
        <w:tc>
          <w:tcPr>
            <w:tcW w:w="9220" w:type="dxa"/>
            <w:vAlign w:val="bottom"/>
          </w:tcPr>
          <w:p>
            <w:pPr>
              <w:ind w:left="120"/>
              <w:spacing w:after="0"/>
              <w:rPr>
                <w:sz w:val="20"/>
                <w:szCs w:val="20"/>
                <w:color w:val="auto"/>
              </w:rPr>
            </w:pPr>
            <w:r>
              <w:rPr>
                <w:rFonts w:ascii="Arial" w:cs="Arial" w:eastAsia="Arial" w:hAnsi="Arial"/>
                <w:sz w:val="20"/>
                <w:szCs w:val="20"/>
                <w:color w:val="auto"/>
              </w:rPr>
              <w:t>Consent of PricewaterhouseCoopers LLP, Independent Registered Public Accounting Firm</w:t>
            </w:r>
          </w:p>
        </w:tc>
      </w:tr>
      <w:tr>
        <w:trPr>
          <w:trHeight w:val="265"/>
        </w:trPr>
        <w:tc>
          <w:tcPr>
            <w:tcW w:w="880" w:type="dxa"/>
            <w:vAlign w:val="bottom"/>
          </w:tcPr>
          <w:p>
            <w:pPr>
              <w:spacing w:after="0"/>
              <w:rPr>
                <w:sz w:val="20"/>
                <w:szCs w:val="20"/>
                <w:color w:val="auto"/>
              </w:rPr>
            </w:pPr>
            <w:r>
              <w:rPr>
                <w:rFonts w:ascii="Arial" w:cs="Arial" w:eastAsia="Arial" w:hAnsi="Arial"/>
                <w:sz w:val="20"/>
                <w:szCs w:val="20"/>
                <w:color w:val="auto"/>
              </w:rPr>
              <w:t>31.1*</w:t>
            </w:r>
          </w:p>
        </w:tc>
        <w:tc>
          <w:tcPr>
            <w:tcW w:w="9220" w:type="dxa"/>
            <w:vAlign w:val="bottom"/>
          </w:tcPr>
          <w:p>
            <w:pPr>
              <w:ind w:left="120"/>
              <w:spacing w:after="0"/>
              <w:rPr>
                <w:sz w:val="20"/>
                <w:szCs w:val="20"/>
                <w:color w:val="auto"/>
              </w:rPr>
            </w:pPr>
            <w:r>
              <w:rPr>
                <w:rFonts w:ascii="Arial" w:cs="Arial" w:eastAsia="Arial" w:hAnsi="Arial"/>
                <w:sz w:val="20"/>
                <w:szCs w:val="20"/>
                <w:color w:val="auto"/>
                <w:w w:val="98"/>
              </w:rPr>
              <w:t>Certification of Principal Executive Officer Pursuant to Rule 13a-14(a) or Rule 15d-14(a) of the Securities</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Exchange Act of 1934, as Adopted Pursuant to Section 302 of the Sarbanes-Oxley Act of 2002.</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31.2*</w:t>
            </w:r>
          </w:p>
        </w:tc>
        <w:tc>
          <w:tcPr>
            <w:tcW w:w="9220" w:type="dxa"/>
            <w:vAlign w:val="bottom"/>
          </w:tcPr>
          <w:p>
            <w:pPr>
              <w:ind w:left="120"/>
              <w:spacing w:after="0"/>
              <w:rPr>
                <w:sz w:val="20"/>
                <w:szCs w:val="20"/>
                <w:color w:val="auto"/>
              </w:rPr>
            </w:pPr>
            <w:r>
              <w:rPr>
                <w:rFonts w:ascii="Arial" w:cs="Arial" w:eastAsia="Arial" w:hAnsi="Arial"/>
                <w:sz w:val="20"/>
                <w:szCs w:val="20"/>
                <w:color w:val="auto"/>
                <w:w w:val="89"/>
              </w:rPr>
              <w:t>Certification of Principal Financial Officer Pursuant to Rule 13a-14(a) or Rule 15d-14(a) of the Securities Exchange</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Act of 1934, as Adopted Pursuant to Section 302 of the Sarbanes-Oxley Act of 2002.</w:t>
            </w:r>
          </w:p>
        </w:tc>
      </w:tr>
      <w:tr>
        <w:trPr>
          <w:trHeight w:val="260"/>
        </w:trPr>
        <w:tc>
          <w:tcPr>
            <w:tcW w:w="880" w:type="dxa"/>
            <w:vAlign w:val="bottom"/>
          </w:tcPr>
          <w:p>
            <w:pPr>
              <w:spacing w:after="0"/>
              <w:rPr>
                <w:sz w:val="20"/>
                <w:szCs w:val="20"/>
                <w:color w:val="auto"/>
              </w:rPr>
            </w:pPr>
            <w:r>
              <w:rPr>
                <w:rFonts w:ascii="Arial" w:cs="Arial" w:eastAsia="Arial" w:hAnsi="Arial"/>
                <w:sz w:val="20"/>
                <w:szCs w:val="20"/>
                <w:color w:val="auto"/>
              </w:rPr>
              <w:t>32.1**</w:t>
            </w:r>
          </w:p>
        </w:tc>
        <w:tc>
          <w:tcPr>
            <w:tcW w:w="9220" w:type="dxa"/>
            <w:vAlign w:val="bottom"/>
          </w:tcPr>
          <w:p>
            <w:pPr>
              <w:ind w:left="120"/>
              <w:spacing w:after="0"/>
              <w:rPr>
                <w:sz w:val="20"/>
                <w:szCs w:val="20"/>
                <w:color w:val="auto"/>
              </w:rPr>
            </w:pPr>
            <w:r>
              <w:rPr>
                <w:rFonts w:ascii="Arial" w:cs="Arial" w:eastAsia="Arial" w:hAnsi="Arial"/>
                <w:sz w:val="20"/>
                <w:szCs w:val="20"/>
                <w:color w:val="auto"/>
                <w:w w:val="88"/>
              </w:rPr>
              <w:t>Certification Pursuant to 18 U.S.C. Section 1350, as Adopted Pursuant to Section 906 of the Sarbanes-Oxley Act of</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2002.</w:t>
            </w:r>
          </w:p>
        </w:tc>
      </w:tr>
      <w:tr>
        <w:trPr>
          <w:trHeight w:val="230"/>
        </w:trPr>
        <w:tc>
          <w:tcPr>
            <w:tcW w:w="880" w:type="dxa"/>
            <w:vAlign w:val="bottom"/>
          </w:tcPr>
          <w:p>
            <w:pPr>
              <w:spacing w:after="0"/>
              <w:rPr>
                <w:sz w:val="20"/>
                <w:szCs w:val="20"/>
                <w:color w:val="auto"/>
              </w:rPr>
            </w:pPr>
            <w:r>
              <w:rPr>
                <w:rFonts w:ascii="Arial" w:cs="Arial" w:eastAsia="Arial" w:hAnsi="Arial"/>
                <w:sz w:val="20"/>
                <w:szCs w:val="20"/>
                <w:color w:val="auto"/>
              </w:rPr>
              <w:t>97.1</w:t>
            </w:r>
          </w:p>
        </w:tc>
        <w:tc>
          <w:tcPr>
            <w:tcW w:w="9220" w:type="dxa"/>
            <w:vAlign w:val="bottom"/>
          </w:tcPr>
          <w:p>
            <w:pPr>
              <w:ind w:left="120"/>
              <w:spacing w:after="0"/>
              <w:rPr>
                <w:sz w:val="20"/>
                <w:szCs w:val="20"/>
                <w:color w:val="auto"/>
              </w:rPr>
            </w:pPr>
            <w:r>
              <w:rPr>
                <w:rFonts w:ascii="Arial" w:cs="Arial" w:eastAsia="Arial" w:hAnsi="Arial"/>
                <w:sz w:val="20"/>
                <w:szCs w:val="20"/>
                <w:color w:val="auto"/>
                <w:w w:val="89"/>
              </w:rPr>
              <w:t>Black Diamond Therapeutics, Inc. Compensation Recovery Policy (incorporated by reference to Exhibit 97.1 of the</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Registrant’s Annual Report on Form 10-K (File No. 001-39200) filed on March 12, 2024)</w:t>
            </w:r>
          </w:p>
        </w:tc>
      </w:tr>
      <w:tr>
        <w:trPr>
          <w:trHeight w:val="231"/>
        </w:trPr>
        <w:tc>
          <w:tcPr>
            <w:tcW w:w="880" w:type="dxa"/>
            <w:vAlign w:val="bottom"/>
          </w:tcPr>
          <w:p>
            <w:pPr>
              <w:spacing w:after="0"/>
              <w:rPr>
                <w:sz w:val="20"/>
                <w:szCs w:val="20"/>
                <w:color w:val="auto"/>
              </w:rPr>
            </w:pPr>
            <w:r>
              <w:rPr>
                <w:rFonts w:ascii="Arial" w:cs="Arial" w:eastAsia="Arial" w:hAnsi="Arial"/>
                <w:sz w:val="20"/>
                <w:szCs w:val="20"/>
                <w:color w:val="auto"/>
              </w:rPr>
              <w:t>101INS*</w:t>
            </w:r>
          </w:p>
        </w:tc>
        <w:tc>
          <w:tcPr>
            <w:tcW w:w="9220" w:type="dxa"/>
            <w:vAlign w:val="bottom"/>
          </w:tcPr>
          <w:p>
            <w:pPr>
              <w:ind w:left="120"/>
              <w:spacing w:after="0"/>
              <w:rPr>
                <w:sz w:val="20"/>
                <w:szCs w:val="20"/>
                <w:color w:val="auto"/>
              </w:rPr>
            </w:pPr>
            <w:r>
              <w:rPr>
                <w:rFonts w:ascii="Arial" w:cs="Arial" w:eastAsia="Arial" w:hAnsi="Arial"/>
                <w:sz w:val="20"/>
                <w:szCs w:val="20"/>
                <w:color w:val="auto"/>
                <w:w w:val="90"/>
              </w:rPr>
              <w:t>Inline XBRL Instance Document – the instance document does not appear in the Interactive Data File because its</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XBRL tags are embedded within the Inline XBRL document.</w:t>
            </w:r>
          </w:p>
        </w:tc>
      </w:tr>
      <w:tr>
        <w:trPr>
          <w:trHeight w:val="288"/>
        </w:trPr>
        <w:tc>
          <w:tcPr>
            <w:tcW w:w="880" w:type="dxa"/>
            <w:vAlign w:val="bottom"/>
          </w:tcPr>
          <w:p>
            <w:pPr>
              <w:spacing w:after="0"/>
              <w:rPr>
                <w:sz w:val="20"/>
                <w:szCs w:val="20"/>
                <w:color w:val="auto"/>
              </w:rPr>
            </w:pPr>
            <w:r>
              <w:rPr>
                <w:rFonts w:ascii="Arial" w:cs="Arial" w:eastAsia="Arial" w:hAnsi="Arial"/>
                <w:sz w:val="20"/>
                <w:szCs w:val="20"/>
                <w:color w:val="auto"/>
              </w:rPr>
              <w:t>101SCH*</w:t>
            </w:r>
          </w:p>
        </w:tc>
        <w:tc>
          <w:tcPr>
            <w:tcW w:w="9220" w:type="dxa"/>
            <w:vAlign w:val="bottom"/>
          </w:tcPr>
          <w:p>
            <w:pPr>
              <w:ind w:left="120"/>
              <w:spacing w:after="0"/>
              <w:rPr>
                <w:sz w:val="20"/>
                <w:szCs w:val="20"/>
                <w:color w:val="auto"/>
              </w:rPr>
            </w:pPr>
            <w:r>
              <w:rPr>
                <w:rFonts w:ascii="Arial" w:cs="Arial" w:eastAsia="Arial" w:hAnsi="Arial"/>
                <w:sz w:val="20"/>
                <w:szCs w:val="20"/>
                <w:color w:val="auto"/>
              </w:rPr>
              <w:t>Inline XBRL Taxonomy Extension Schema Document.</w:t>
            </w:r>
          </w:p>
        </w:tc>
      </w:tr>
      <w:tr>
        <w:trPr>
          <w:trHeight w:val="294"/>
        </w:trPr>
        <w:tc>
          <w:tcPr>
            <w:tcW w:w="880" w:type="dxa"/>
            <w:vAlign w:val="bottom"/>
          </w:tcPr>
          <w:p>
            <w:pPr>
              <w:spacing w:after="0"/>
              <w:rPr>
                <w:sz w:val="20"/>
                <w:szCs w:val="20"/>
                <w:color w:val="auto"/>
              </w:rPr>
            </w:pPr>
            <w:r>
              <w:rPr>
                <w:rFonts w:ascii="Arial" w:cs="Arial" w:eastAsia="Arial" w:hAnsi="Arial"/>
                <w:sz w:val="20"/>
                <w:szCs w:val="20"/>
                <w:color w:val="auto"/>
              </w:rPr>
              <w:t>101CAL*</w:t>
            </w:r>
          </w:p>
        </w:tc>
        <w:tc>
          <w:tcPr>
            <w:tcW w:w="9220" w:type="dxa"/>
            <w:vAlign w:val="bottom"/>
          </w:tcPr>
          <w:p>
            <w:pPr>
              <w:ind w:left="12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294"/>
        </w:trPr>
        <w:tc>
          <w:tcPr>
            <w:tcW w:w="880" w:type="dxa"/>
            <w:vAlign w:val="bottom"/>
          </w:tcPr>
          <w:p>
            <w:pPr>
              <w:spacing w:after="0"/>
              <w:rPr>
                <w:sz w:val="20"/>
                <w:szCs w:val="20"/>
                <w:color w:val="auto"/>
              </w:rPr>
            </w:pPr>
            <w:r>
              <w:rPr>
                <w:rFonts w:ascii="Arial" w:cs="Arial" w:eastAsia="Arial" w:hAnsi="Arial"/>
                <w:sz w:val="20"/>
                <w:szCs w:val="20"/>
                <w:color w:val="auto"/>
              </w:rPr>
              <w:t>101LAB*</w:t>
            </w:r>
          </w:p>
        </w:tc>
        <w:tc>
          <w:tcPr>
            <w:tcW w:w="9220" w:type="dxa"/>
            <w:vAlign w:val="bottom"/>
          </w:tcPr>
          <w:p>
            <w:pPr>
              <w:ind w:left="120"/>
              <w:spacing w:after="0"/>
              <w:rPr>
                <w:sz w:val="20"/>
                <w:szCs w:val="20"/>
                <w:color w:val="auto"/>
              </w:rPr>
            </w:pPr>
            <w:r>
              <w:rPr>
                <w:rFonts w:ascii="Arial" w:cs="Arial" w:eastAsia="Arial" w:hAnsi="Arial"/>
                <w:sz w:val="20"/>
                <w:szCs w:val="20"/>
                <w:color w:val="auto"/>
              </w:rPr>
              <w:t>Inline XBRL Taxonomy Extension Labels Linkbase Document.</w:t>
            </w:r>
          </w:p>
        </w:tc>
      </w:tr>
      <w:tr>
        <w:trPr>
          <w:trHeight w:val="294"/>
        </w:trPr>
        <w:tc>
          <w:tcPr>
            <w:tcW w:w="880" w:type="dxa"/>
            <w:vAlign w:val="bottom"/>
          </w:tcPr>
          <w:p>
            <w:pPr>
              <w:spacing w:after="0"/>
              <w:rPr>
                <w:sz w:val="20"/>
                <w:szCs w:val="20"/>
                <w:color w:val="auto"/>
              </w:rPr>
            </w:pPr>
            <w:r>
              <w:rPr>
                <w:rFonts w:ascii="Arial" w:cs="Arial" w:eastAsia="Arial" w:hAnsi="Arial"/>
                <w:sz w:val="20"/>
                <w:szCs w:val="20"/>
                <w:color w:val="auto"/>
              </w:rPr>
              <w:t>101PRE*</w:t>
            </w:r>
          </w:p>
        </w:tc>
        <w:tc>
          <w:tcPr>
            <w:tcW w:w="9220" w:type="dxa"/>
            <w:vAlign w:val="bottom"/>
          </w:tcPr>
          <w:p>
            <w:pPr>
              <w:ind w:left="12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294"/>
        </w:trPr>
        <w:tc>
          <w:tcPr>
            <w:tcW w:w="880" w:type="dxa"/>
            <w:vAlign w:val="bottom"/>
          </w:tcPr>
          <w:p>
            <w:pPr>
              <w:spacing w:after="0"/>
              <w:rPr>
                <w:sz w:val="20"/>
                <w:szCs w:val="20"/>
                <w:color w:val="auto"/>
              </w:rPr>
            </w:pPr>
            <w:r>
              <w:rPr>
                <w:rFonts w:ascii="Arial" w:cs="Arial" w:eastAsia="Arial" w:hAnsi="Arial"/>
                <w:sz w:val="20"/>
                <w:szCs w:val="20"/>
                <w:color w:val="auto"/>
              </w:rPr>
              <w:t>101DEF*</w:t>
            </w:r>
          </w:p>
        </w:tc>
        <w:tc>
          <w:tcPr>
            <w:tcW w:w="9220" w:type="dxa"/>
            <w:vAlign w:val="bottom"/>
          </w:tcPr>
          <w:p>
            <w:pPr>
              <w:ind w:left="120"/>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36"/>
        </w:trPr>
        <w:tc>
          <w:tcPr>
            <w:tcW w:w="880" w:type="dxa"/>
            <w:vAlign w:val="bottom"/>
          </w:tcPr>
          <w:p>
            <w:pPr>
              <w:spacing w:after="0"/>
              <w:rPr>
                <w:sz w:val="20"/>
                <w:szCs w:val="20"/>
                <w:color w:val="auto"/>
              </w:rPr>
            </w:pPr>
            <w:r>
              <w:rPr>
                <w:rFonts w:ascii="Arial" w:cs="Arial" w:eastAsia="Arial" w:hAnsi="Arial"/>
                <w:sz w:val="20"/>
                <w:szCs w:val="20"/>
                <w:color w:val="auto"/>
              </w:rPr>
              <w:t>104*</w:t>
            </w:r>
          </w:p>
        </w:tc>
        <w:tc>
          <w:tcPr>
            <w:tcW w:w="9220" w:type="dxa"/>
            <w:vAlign w:val="bottom"/>
          </w:tcPr>
          <w:p>
            <w:pPr>
              <w:ind w:left="120"/>
              <w:spacing w:after="0"/>
              <w:rPr>
                <w:sz w:val="20"/>
                <w:szCs w:val="20"/>
                <w:color w:val="auto"/>
              </w:rPr>
            </w:pPr>
            <w:r>
              <w:rPr>
                <w:rFonts w:ascii="Arial" w:cs="Arial" w:eastAsia="Arial" w:hAnsi="Arial"/>
                <w:sz w:val="20"/>
                <w:szCs w:val="20"/>
                <w:color w:val="auto"/>
                <w:w w:val="95"/>
              </w:rPr>
              <w:t>Cover Page Interactive Data File (formatted as inline XBRL with applicable taxonomy extension information</w:t>
            </w:r>
          </w:p>
        </w:tc>
      </w:tr>
      <w:tr>
        <w:trPr>
          <w:trHeight w:val="255"/>
        </w:trPr>
        <w:tc>
          <w:tcPr>
            <w:tcW w:w="880" w:type="dxa"/>
            <w:vAlign w:val="bottom"/>
          </w:tcPr>
          <w:p>
            <w:pPr>
              <w:spacing w:after="0"/>
              <w:rPr>
                <w:sz w:val="22"/>
                <w:szCs w:val="22"/>
                <w:color w:val="auto"/>
              </w:rPr>
            </w:pPr>
          </w:p>
        </w:tc>
        <w:tc>
          <w:tcPr>
            <w:tcW w:w="9220" w:type="dxa"/>
            <w:vAlign w:val="bottom"/>
          </w:tcPr>
          <w:p>
            <w:pPr>
              <w:ind w:left="120"/>
              <w:spacing w:after="0"/>
              <w:rPr>
                <w:sz w:val="20"/>
                <w:szCs w:val="20"/>
                <w:color w:val="auto"/>
              </w:rPr>
            </w:pPr>
            <w:r>
              <w:rPr>
                <w:rFonts w:ascii="Arial" w:cs="Arial" w:eastAsia="Arial" w:hAnsi="Arial"/>
                <w:sz w:val="20"/>
                <w:szCs w:val="20"/>
                <w:color w:val="auto"/>
              </w:rPr>
              <w:t>contained in Exhibits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538480</wp:posOffset>
                </wp:positionV>
                <wp:extent cx="649668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6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2.4pt" to="511.75pt,42.4pt" o:allowincell="f" strokecolor="#000000"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60" w:hanging="904"/>
        <w:spacing w:after="0"/>
        <w:tabs>
          <w:tab w:leader="none" w:pos="9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Indicates a management contract or any compensatory plan, contract or arrangement.</w:t>
      </w:r>
    </w:p>
    <w:p>
      <w:pPr>
        <w:spacing w:after="0" w:line="69" w:lineRule="exact"/>
        <w:rPr>
          <w:sz w:val="20"/>
          <w:szCs w:val="20"/>
          <w:color w:val="auto"/>
        </w:rPr>
      </w:pPr>
    </w:p>
    <w:p>
      <w:pPr>
        <w:jc w:val="both"/>
        <w:ind w:left="960" w:right="40" w:hanging="904"/>
        <w:spacing w:after="0" w:line="248" w:lineRule="auto"/>
        <w:tabs>
          <w:tab w:leader="none" w:pos="9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Non-material schedules and exhibits have been omitted pursuant to Item 601(b)(2) of Regulation S-K. The Company hereby undertakes to furnish supplementally copies of any of the omitted schedules and exhibits upon request by the Securities and Exchange Commission.</w:t>
      </w:r>
    </w:p>
    <w:p>
      <w:pPr>
        <w:spacing w:after="0" w:line="32" w:lineRule="exact"/>
        <w:rPr>
          <w:sz w:val="20"/>
          <w:szCs w:val="20"/>
          <w:color w:val="auto"/>
        </w:rPr>
      </w:pPr>
    </w:p>
    <w:p>
      <w:pPr>
        <w:ind w:left="960" w:hanging="904"/>
        <w:spacing w:after="0"/>
        <w:tabs>
          <w:tab w:leader="none" w:pos="9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51" w:lineRule="exact"/>
        <w:rPr>
          <w:sz w:val="20"/>
          <w:szCs w:val="20"/>
          <w:color w:val="auto"/>
        </w:rPr>
      </w:pPr>
    </w:p>
    <w:p>
      <w:pPr>
        <w:ind w:left="960" w:right="140" w:hanging="904"/>
        <w:spacing w:after="0" w:line="243" w:lineRule="auto"/>
        <w:tabs>
          <w:tab w:leader="none" w:pos="9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spacing w:after="0" w:line="53" w:lineRule="exact"/>
        <w:rPr>
          <w:sz w:val="20"/>
          <w:szCs w:val="20"/>
          <w:color w:val="auto"/>
        </w:rPr>
      </w:pPr>
    </w:p>
    <w:p>
      <w:pPr>
        <w:ind w:left="960" w:right="580" w:hanging="904"/>
        <w:spacing w:after="0" w:line="260" w:lineRule="auto"/>
        <w:tabs>
          <w:tab w:leader="none" w:pos="9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Portions of this exhibit (indicated by asterisks) were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The company has elected not to include summary information.</w:t>
      </w:r>
    </w:p>
    <w:p>
      <w:pPr>
        <w:sectPr>
          <w:pgSz w:w="11880" w:h="15480" w:orient="portrait"/>
          <w:cols w:equalWidth="0" w:num="1">
            <w:col w:w="10160"/>
          </w:cols>
          <w:pgMar w:left="820" w:top="75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166</w:t>
      </w:r>
    </w:p>
    <w:p>
      <w:pPr>
        <w:sectPr>
          <w:pgSz w:w="11880" w:h="15480" w:orient="portrait"/>
          <w:cols w:equalWidth="0" w:num="1">
            <w:col w:w="10160"/>
          </w:cols>
          <w:pgMar w:left="820" w:top="757" w:right="900" w:bottom="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48"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Black Diamond Therapeutics, Inc.</w:t>
      </w:r>
    </w:p>
    <w:p>
      <w:pPr>
        <w:spacing w:after="0" w:line="354" w:lineRule="exact"/>
        <w:rPr>
          <w:sz w:val="20"/>
          <w:szCs w:val="20"/>
          <w:color w:val="auto"/>
        </w:rPr>
      </w:pPr>
    </w:p>
    <w:p>
      <w:pPr>
        <w:ind w:left="60"/>
        <w:spacing w:after="0"/>
        <w:tabs>
          <w:tab w:leader="none" w:pos="4920" w:val="left"/>
        </w:tabs>
        <w:rPr>
          <w:sz w:val="20"/>
          <w:szCs w:val="20"/>
          <w:color w:val="auto"/>
        </w:rPr>
      </w:pPr>
      <w:r>
        <w:rPr>
          <w:rFonts w:ascii="Arial" w:cs="Arial" w:eastAsia="Arial" w:hAnsi="Arial"/>
          <w:sz w:val="22"/>
          <w:szCs w:val="22"/>
          <w:color w:val="auto"/>
        </w:rPr>
        <w:t>Date: March 16, 2026</w:t>
      </w:r>
      <w:r>
        <w:rPr>
          <w:sz w:val="20"/>
          <w:szCs w:val="20"/>
          <w:color w:val="auto"/>
        </w:rPr>
        <w:tab/>
      </w:r>
      <w:r>
        <w:rPr>
          <w:rFonts w:ascii="Arial" w:cs="Arial" w:eastAsia="Arial" w:hAnsi="Arial"/>
          <w:sz w:val="20"/>
          <w:szCs w:val="20"/>
          <w:color w:val="auto"/>
        </w:rPr>
        <w:t>By: /s/ Mark A. Velleca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3372485</wp:posOffset>
                </wp:positionH>
                <wp:positionV relativeFrom="paragraph">
                  <wp:posOffset>24130</wp:posOffset>
                </wp:positionV>
                <wp:extent cx="312674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67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55pt,1.9pt" to="511.75pt,1.9pt" o:allowincell="f" strokecolor="#000000" strokeweight="1pt"/>
            </w:pict>
          </mc:Fallback>
        </mc:AlternateContent>
      </w:r>
    </w:p>
    <w:p>
      <w:pPr>
        <w:spacing w:after="0" w:line="26"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Mark A. Velleca</w:t>
      </w:r>
    </w:p>
    <w:p>
      <w:pPr>
        <w:spacing w:after="0" w:line="47"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President and Chief Executive Officer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48"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KNOW ALL PERSONS BY THESE PRESENTS, that each person whose individual signature appears below hereby authorizes and appoints Mark A. Velleca and Brent Hatzis-Schoch,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1" w:lineRule="exact"/>
        <w:rPr>
          <w:sz w:val="20"/>
          <w:szCs w:val="20"/>
          <w:color w:val="auto"/>
        </w:rPr>
      </w:pPr>
    </w:p>
    <w:p>
      <w:pPr>
        <w:jc w:val="both"/>
        <w:ind w:right="140"/>
        <w:spacing w:after="0" w:line="258" w:lineRule="auto"/>
        <w:rPr>
          <w:sz w:val="20"/>
          <w:szCs w:val="20"/>
          <w:color w:val="auto"/>
        </w:rPr>
      </w:pPr>
      <w:r>
        <w:rPr>
          <w:rFonts w:ascii="Arial" w:cs="Arial" w:eastAsia="Arial" w:hAnsi="Arial"/>
          <w:sz w:val="22"/>
          <w:szCs w:val="22"/>
          <w:color w:val="auto"/>
        </w:rPr>
        <w:t>Pursuant to the requirements of the Securities Exchange Act of 1934, as amended, this Annual Report on Form 10-K has been signed below by the following persons on behalf of the registrant and in the capacities indicated on the 16th day of March, 2026.</w:t>
      </w:r>
    </w:p>
    <w:p>
      <w:pPr>
        <w:sectPr>
          <w:pgSz w:w="11880" w:h="15480" w:orient="portrait"/>
          <w:cols w:equalWidth="0" w:num="1">
            <w:col w:w="10240"/>
          </w:cols>
          <w:pgMar w:left="820" w:top="67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167</w:t>
      </w:r>
    </w:p>
    <w:p>
      <w:pPr>
        <w:sectPr>
          <w:pgSz w:w="11880" w:h="15480" w:orient="portrait"/>
          <w:cols w:equalWidth="0" w:num="1">
            <w:col w:w="10240"/>
          </w:cols>
          <w:pgMar w:left="820" w:top="670" w:right="820" w:bottom="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62"/>
        </w:trPr>
        <w:tc>
          <w:tcPr>
            <w:tcW w:w="5120" w:type="dxa"/>
            <w:vAlign w:val="bottom"/>
            <w:tcBorders>
              <w:bottom w:val="single" w:sz="8" w:color="auto"/>
            </w:tcBorders>
          </w:tcPr>
          <w:p>
            <w:pPr>
              <w:ind w:left="2160"/>
              <w:spacing w:after="0"/>
              <w:rPr>
                <w:sz w:val="20"/>
                <w:szCs w:val="20"/>
                <w:color w:val="auto"/>
              </w:rPr>
            </w:pPr>
            <w:r>
              <w:rPr>
                <w:rFonts w:ascii="Arial" w:cs="Arial" w:eastAsia="Arial" w:hAnsi="Arial"/>
                <w:sz w:val="20"/>
                <w:szCs w:val="20"/>
                <w:b w:val="1"/>
                <w:bCs w:val="1"/>
                <w:color w:val="auto"/>
              </w:rPr>
              <w:t>Signature</w:t>
            </w: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r>
      <w:tr>
        <w:trPr>
          <w:trHeight w:val="251"/>
        </w:trPr>
        <w:tc>
          <w:tcPr>
            <w:tcW w:w="5120" w:type="dxa"/>
            <w:vAlign w:val="bottom"/>
          </w:tcPr>
          <w:p>
            <w:pPr>
              <w:spacing w:after="0"/>
              <w:rPr>
                <w:sz w:val="21"/>
                <w:szCs w:val="21"/>
                <w:color w:val="auto"/>
              </w:rPr>
            </w:pPr>
          </w:p>
        </w:tc>
        <w:tc>
          <w:tcPr>
            <w:tcW w:w="5120" w:type="dxa"/>
            <w:vAlign w:val="bottom"/>
          </w:tcPr>
          <w:p>
            <w:pPr>
              <w:jc w:val="center"/>
              <w:spacing w:after="0"/>
              <w:rPr>
                <w:sz w:val="20"/>
                <w:szCs w:val="20"/>
                <w:color w:val="auto"/>
              </w:rPr>
            </w:pPr>
            <w:r>
              <w:rPr>
                <w:rFonts w:ascii="Arial" w:cs="Arial" w:eastAsia="Arial" w:hAnsi="Arial"/>
                <w:sz w:val="20"/>
                <w:szCs w:val="20"/>
                <w:color w:val="auto"/>
                <w:w w:val="89"/>
              </w:rPr>
              <w:t>President, Chief Executive Officer, Chairman and Director</w:t>
            </w:r>
          </w:p>
        </w:tc>
      </w:tr>
      <w:tr>
        <w:trPr>
          <w:trHeight w:val="258"/>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Mark A. Velleca</w:t>
            </w:r>
          </w:p>
        </w:tc>
        <w:tc>
          <w:tcPr>
            <w:tcW w:w="5120" w:type="dxa"/>
            <w:vAlign w:val="bottom"/>
          </w:tcPr>
          <w:p>
            <w:pPr>
              <w:jc w:val="center"/>
              <w:spacing w:after="0"/>
              <w:rPr>
                <w:sz w:val="20"/>
                <w:szCs w:val="20"/>
                <w:color w:val="auto"/>
              </w:rPr>
            </w:pPr>
            <w:r>
              <w:rPr>
                <w:rFonts w:ascii="Arial" w:cs="Arial" w:eastAsia="Arial" w:hAnsi="Arial"/>
                <w:sz w:val="20"/>
                <w:szCs w:val="20"/>
                <w:color w:val="auto"/>
                <w:w w:val="92"/>
              </w:rPr>
              <w:t>(Principal Executive Officer)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Mark A. Velleca</w:t>
            </w:r>
          </w:p>
        </w:tc>
        <w:tc>
          <w:tcPr>
            <w:tcW w:w="5120" w:type="dxa"/>
            <w:vAlign w:val="bottom"/>
          </w:tcPr>
          <w:p>
            <w:pPr>
              <w:spacing w:after="0"/>
              <w:rPr>
                <w:sz w:val="22"/>
                <w:szCs w:val="22"/>
                <w:color w:val="auto"/>
              </w:rPr>
            </w:pPr>
          </w:p>
        </w:tc>
      </w:tr>
      <w:tr>
        <w:trPr>
          <w:trHeight w:val="289"/>
        </w:trPr>
        <w:tc>
          <w:tcPr>
            <w:tcW w:w="512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20"/>
                <w:szCs w:val="20"/>
                <w:color w:val="auto"/>
                <w:w w:val="88"/>
              </w:rPr>
              <w:t>Senior Vice President, Finance</w:t>
            </w:r>
          </w:p>
        </w:tc>
      </w:tr>
      <w:tr>
        <w:trPr>
          <w:trHeight w:val="271"/>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Erika Jones</w:t>
            </w:r>
          </w:p>
        </w:tc>
        <w:tc>
          <w:tcPr>
            <w:tcW w:w="5120" w:type="dxa"/>
            <w:vAlign w:val="bottom"/>
          </w:tcPr>
          <w:p>
            <w:pPr>
              <w:jc w:val="center"/>
              <w:spacing w:after="0"/>
              <w:rPr>
                <w:sz w:val="20"/>
                <w:szCs w:val="20"/>
                <w:color w:val="auto"/>
              </w:rPr>
            </w:pPr>
            <w:r>
              <w:rPr>
                <w:rFonts w:ascii="Arial" w:cs="Arial" w:eastAsia="Arial" w:hAnsi="Arial"/>
                <w:sz w:val="20"/>
                <w:szCs w:val="20"/>
                <w:color w:val="auto"/>
                <w:w w:val="92"/>
              </w:rPr>
              <w:t>(Principal Financial Officer and Principal Accounting Officer)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Erika Jones</w:t>
            </w:r>
          </w:p>
        </w:tc>
        <w:tc>
          <w:tcPr>
            <w:tcW w:w="5120" w:type="dxa"/>
            <w:vAlign w:val="bottom"/>
          </w:tcPr>
          <w:p>
            <w:pPr>
              <w:spacing w:after="0"/>
              <w:rPr>
                <w:sz w:val="22"/>
                <w:szCs w:val="22"/>
                <w:color w:val="auto"/>
              </w:rPr>
            </w:pPr>
          </w:p>
        </w:tc>
      </w:tr>
      <w:tr>
        <w:trPr>
          <w:trHeight w:val="546"/>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Ali Behbahani</w:t>
            </w:r>
          </w:p>
        </w:tc>
        <w:tc>
          <w:tcPr>
            <w:tcW w:w="5120" w:type="dxa"/>
            <w:vAlign w:val="bottom"/>
          </w:tcPr>
          <w:p>
            <w:pPr>
              <w:jc w:val="center"/>
              <w:spacing w:after="0"/>
              <w:rPr>
                <w:sz w:val="20"/>
                <w:szCs w:val="20"/>
                <w:color w:val="auto"/>
              </w:rPr>
            </w:pPr>
            <w:r>
              <w:rPr>
                <w:rFonts w:ascii="Arial" w:cs="Arial" w:eastAsia="Arial" w:hAnsi="Arial"/>
                <w:sz w:val="20"/>
                <w:szCs w:val="20"/>
                <w:color w:val="auto"/>
                <w:w w:val="91"/>
              </w:rPr>
              <w:t>Director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Ali Behbahani</w:t>
            </w:r>
          </w:p>
        </w:tc>
        <w:tc>
          <w:tcPr>
            <w:tcW w:w="5120" w:type="dxa"/>
            <w:vAlign w:val="bottom"/>
          </w:tcPr>
          <w:p>
            <w:pPr>
              <w:spacing w:after="0"/>
              <w:rPr>
                <w:sz w:val="22"/>
                <w:szCs w:val="22"/>
                <w:color w:val="auto"/>
              </w:rPr>
            </w:pPr>
          </w:p>
        </w:tc>
      </w:tr>
      <w:tr>
        <w:trPr>
          <w:trHeight w:val="546"/>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Samarth Kulkarni</w:t>
            </w:r>
          </w:p>
        </w:tc>
        <w:tc>
          <w:tcPr>
            <w:tcW w:w="5120" w:type="dxa"/>
            <w:vAlign w:val="bottom"/>
          </w:tcPr>
          <w:p>
            <w:pPr>
              <w:jc w:val="center"/>
              <w:spacing w:after="0"/>
              <w:rPr>
                <w:sz w:val="20"/>
                <w:szCs w:val="20"/>
                <w:color w:val="auto"/>
              </w:rPr>
            </w:pPr>
            <w:r>
              <w:rPr>
                <w:rFonts w:ascii="Arial" w:cs="Arial" w:eastAsia="Arial" w:hAnsi="Arial"/>
                <w:sz w:val="20"/>
                <w:szCs w:val="20"/>
                <w:color w:val="auto"/>
                <w:w w:val="91"/>
              </w:rPr>
              <w:t>Director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Samarth Kulkarni</w:t>
            </w:r>
          </w:p>
        </w:tc>
        <w:tc>
          <w:tcPr>
            <w:tcW w:w="5120" w:type="dxa"/>
            <w:vAlign w:val="bottom"/>
          </w:tcPr>
          <w:p>
            <w:pPr>
              <w:spacing w:after="0"/>
              <w:rPr>
                <w:sz w:val="22"/>
                <w:szCs w:val="22"/>
                <w:color w:val="auto"/>
              </w:rPr>
            </w:pPr>
          </w:p>
        </w:tc>
      </w:tr>
      <w:tr>
        <w:trPr>
          <w:trHeight w:val="546"/>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Shannon Campbell</w:t>
            </w:r>
          </w:p>
        </w:tc>
        <w:tc>
          <w:tcPr>
            <w:tcW w:w="5120" w:type="dxa"/>
            <w:vAlign w:val="bottom"/>
          </w:tcPr>
          <w:p>
            <w:pPr>
              <w:jc w:val="center"/>
              <w:spacing w:after="0"/>
              <w:rPr>
                <w:sz w:val="20"/>
                <w:szCs w:val="20"/>
                <w:color w:val="auto"/>
              </w:rPr>
            </w:pPr>
            <w:r>
              <w:rPr>
                <w:rFonts w:ascii="Arial" w:cs="Arial" w:eastAsia="Arial" w:hAnsi="Arial"/>
                <w:sz w:val="20"/>
                <w:szCs w:val="20"/>
                <w:color w:val="auto"/>
                <w:w w:val="91"/>
              </w:rPr>
              <w:t>Director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Shannon Campbell</w:t>
            </w:r>
          </w:p>
        </w:tc>
        <w:tc>
          <w:tcPr>
            <w:tcW w:w="5120" w:type="dxa"/>
            <w:vAlign w:val="bottom"/>
          </w:tcPr>
          <w:p>
            <w:pPr>
              <w:spacing w:after="0"/>
              <w:rPr>
                <w:sz w:val="22"/>
                <w:szCs w:val="22"/>
                <w:color w:val="auto"/>
              </w:rPr>
            </w:pPr>
          </w:p>
        </w:tc>
      </w:tr>
      <w:tr>
        <w:trPr>
          <w:trHeight w:val="546"/>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Garry E. Menzel</w:t>
            </w:r>
          </w:p>
        </w:tc>
        <w:tc>
          <w:tcPr>
            <w:tcW w:w="5120" w:type="dxa"/>
            <w:vAlign w:val="bottom"/>
          </w:tcPr>
          <w:p>
            <w:pPr>
              <w:jc w:val="center"/>
              <w:spacing w:after="0"/>
              <w:rPr>
                <w:sz w:val="20"/>
                <w:szCs w:val="20"/>
                <w:color w:val="auto"/>
              </w:rPr>
            </w:pPr>
            <w:r>
              <w:rPr>
                <w:rFonts w:ascii="Arial" w:cs="Arial" w:eastAsia="Arial" w:hAnsi="Arial"/>
                <w:sz w:val="20"/>
                <w:szCs w:val="20"/>
                <w:color w:val="auto"/>
                <w:w w:val="91"/>
              </w:rPr>
              <w:t>Director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Garry E. Menzel</w:t>
            </w:r>
          </w:p>
        </w:tc>
        <w:tc>
          <w:tcPr>
            <w:tcW w:w="5120" w:type="dxa"/>
            <w:vAlign w:val="bottom"/>
          </w:tcPr>
          <w:p>
            <w:pPr>
              <w:spacing w:after="0"/>
              <w:rPr>
                <w:sz w:val="22"/>
                <w:szCs w:val="22"/>
                <w:color w:val="auto"/>
              </w:rPr>
            </w:pPr>
          </w:p>
        </w:tc>
      </w:tr>
      <w:tr>
        <w:trPr>
          <w:trHeight w:val="546"/>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Kapil Dhingra</w:t>
            </w:r>
          </w:p>
        </w:tc>
        <w:tc>
          <w:tcPr>
            <w:tcW w:w="5120" w:type="dxa"/>
            <w:vAlign w:val="bottom"/>
          </w:tcPr>
          <w:p>
            <w:pPr>
              <w:jc w:val="center"/>
              <w:spacing w:after="0"/>
              <w:rPr>
                <w:sz w:val="20"/>
                <w:szCs w:val="20"/>
                <w:color w:val="auto"/>
              </w:rPr>
            </w:pPr>
            <w:r>
              <w:rPr>
                <w:rFonts w:ascii="Arial" w:cs="Arial" w:eastAsia="Arial" w:hAnsi="Arial"/>
                <w:sz w:val="20"/>
                <w:szCs w:val="20"/>
                <w:color w:val="auto"/>
                <w:w w:val="91"/>
              </w:rPr>
              <w:t>Director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Kapil Dhingra</w:t>
            </w:r>
          </w:p>
        </w:tc>
        <w:tc>
          <w:tcPr>
            <w:tcW w:w="5120" w:type="dxa"/>
            <w:vAlign w:val="bottom"/>
          </w:tcPr>
          <w:p>
            <w:pPr>
              <w:spacing w:after="0"/>
              <w:rPr>
                <w:sz w:val="22"/>
                <w:szCs w:val="22"/>
                <w:color w:val="auto"/>
              </w:rPr>
            </w:pPr>
          </w:p>
        </w:tc>
      </w:tr>
      <w:tr>
        <w:trPr>
          <w:trHeight w:val="546"/>
        </w:trPr>
        <w:tc>
          <w:tcPr>
            <w:tcW w:w="51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Prakash Raman</w:t>
            </w:r>
          </w:p>
        </w:tc>
        <w:tc>
          <w:tcPr>
            <w:tcW w:w="5120" w:type="dxa"/>
            <w:vAlign w:val="bottom"/>
          </w:tcPr>
          <w:p>
            <w:pPr>
              <w:jc w:val="center"/>
              <w:spacing w:after="0"/>
              <w:rPr>
                <w:sz w:val="20"/>
                <w:szCs w:val="20"/>
                <w:color w:val="auto"/>
              </w:rPr>
            </w:pPr>
            <w:r>
              <w:rPr>
                <w:rFonts w:ascii="Arial" w:cs="Arial" w:eastAsia="Arial" w:hAnsi="Arial"/>
                <w:sz w:val="20"/>
                <w:szCs w:val="20"/>
                <w:color w:val="auto"/>
                <w:w w:val="91"/>
              </w:rPr>
              <w:t>Director</w:t>
            </w:r>
          </w:p>
        </w:tc>
      </w:tr>
      <w:tr>
        <w:trPr>
          <w:trHeight w:val="257"/>
        </w:trPr>
        <w:tc>
          <w:tcPr>
            <w:tcW w:w="5120" w:type="dxa"/>
            <w:vAlign w:val="bottom"/>
          </w:tcPr>
          <w:p>
            <w:pPr>
              <w:ind w:left="60"/>
              <w:spacing w:after="0"/>
              <w:rPr>
                <w:sz w:val="20"/>
                <w:szCs w:val="20"/>
                <w:color w:val="auto"/>
              </w:rPr>
            </w:pPr>
            <w:r>
              <w:rPr>
                <w:rFonts w:ascii="Arial" w:cs="Arial" w:eastAsia="Arial" w:hAnsi="Arial"/>
                <w:sz w:val="20"/>
                <w:szCs w:val="20"/>
                <w:color w:val="auto"/>
              </w:rPr>
              <w:t>Prakash Raman</w:t>
            </w:r>
          </w:p>
        </w:tc>
        <w:tc>
          <w:tcPr>
            <w:tcW w:w="5120" w:type="dxa"/>
            <w:vAlign w:val="bottom"/>
          </w:tcPr>
          <w:p>
            <w:pPr>
              <w:spacing w:after="0"/>
              <w:rPr>
                <w:sz w:val="22"/>
                <w:szCs w:val="22"/>
                <w:color w:val="auto"/>
              </w:rPr>
            </w:pPr>
          </w:p>
        </w:tc>
      </w:tr>
    </w:tbl>
    <w:p>
      <w:pPr>
        <w:spacing w:after="0"/>
        <w:rPr>
          <w:sz w:val="20"/>
          <w:szCs w:val="20"/>
          <w:color w:val="auto"/>
        </w:rPr>
        <w:sectPr>
          <w:pgSz w:w="11880" w:h="15480" w:orient="portrait"/>
          <w:cols w:equalWidth="0" w:num="1">
            <w:col w:w="10240"/>
          </w:cols>
          <w:pgMar w:left="820" w:top="781" w:right="820" w:bottom="0" w:gutter="0" w:footer="0" w:header="0"/>
        </w:sectPr>
      </w:pPr>
      <w:r>
        <w:rPr>
          <w:sz w:val="20"/>
          <w:szCs w:val="20"/>
          <w:color w:val="auto"/>
        </w:rPr>
        <mc:AlternateContent>
          <mc:Choice Requires="wps">
            <w:drawing>
              <wp:anchor simplePos="0" relativeHeight="251657728" behindDoc="1" locked="0" layoutInCell="0" allowOverlap="1">
                <wp:simplePos x="0" y="0"/>
                <wp:positionH relativeFrom="page">
                  <wp:posOffset>523240</wp:posOffset>
                </wp:positionH>
                <wp:positionV relativeFrom="page">
                  <wp:posOffset>473075</wp:posOffset>
                </wp:positionV>
                <wp:extent cx="649668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685" cy="4763"/>
                        </a:xfrm>
                        <a:prstGeom prst="line">
                          <a:avLst/>
                        </a:prstGeom>
                        <a:solidFill>
                          <a:srgbClr val="FFFFFF"/>
                        </a:solidFill>
                        <a:ln w="24891">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1.2pt,37.25pt" to="552.75pt,37.25pt" o:allowincell="f" strokecolor="#000000" strokeweight="1.9599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168</w:t>
      </w:r>
    </w:p>
    <w:p>
      <w:pPr>
        <w:sectPr>
          <w:pgSz w:w="11880" w:h="15480" w:orient="portrait"/>
          <w:cols w:equalWidth="0" w:num="1">
            <w:col w:w="10240"/>
          </w:cols>
          <w:pgMar w:left="820" w:top="781" w:right="820" w:bottom="0"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174" w:name="page175"/>
    <w:bookmarkEnd w:id="174"/>
    <w:p>
      <w:pPr>
        <w:jc w:val="center"/>
        <w:ind w:right="120"/>
        <w:spacing w:after="0"/>
        <w:rPr>
          <w:sz w:val="20"/>
          <w:szCs w:val="20"/>
          <w:color w:val="auto"/>
        </w:rPr>
      </w:pPr>
      <w:r>
        <w:rPr>
          <w:rFonts w:ascii="Arial" w:cs="Arial" w:eastAsia="Arial" w:hAnsi="Arial"/>
          <w:sz w:val="32"/>
          <w:szCs w:val="32"/>
          <w:b w:val="1"/>
          <w:bCs w:val="1"/>
          <w:color w:val="auto"/>
        </w:rPr>
        <w:t>BLACK DIAMOND THERAPEUTICS,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28"/>
          <w:szCs w:val="28"/>
          <w:b w:val="1"/>
          <w:bCs w:val="1"/>
          <w:color w:val="auto"/>
        </w:rPr>
        <w:t>CORPORATE AND OTHER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280" w:type="dxa"/>
            <w:vAlign w:val="bottom"/>
          </w:tcPr>
          <w:p>
            <w:pPr>
              <w:spacing w:after="0"/>
              <w:rPr>
                <w:sz w:val="20"/>
                <w:szCs w:val="20"/>
                <w:color w:val="auto"/>
              </w:rPr>
            </w:pPr>
            <w:r>
              <w:rPr>
                <w:rFonts w:ascii="Arial" w:cs="Arial" w:eastAsia="Arial" w:hAnsi="Arial"/>
                <w:sz w:val="28"/>
                <w:szCs w:val="28"/>
                <w:b w:val="1"/>
                <w:bCs w:val="1"/>
                <w:color w:val="auto"/>
              </w:rPr>
              <w:t>Board of Directors</w:t>
            </w:r>
          </w:p>
        </w:tc>
        <w:tc>
          <w:tcPr>
            <w:tcW w:w="3760" w:type="dxa"/>
            <w:vAlign w:val="bottom"/>
          </w:tcPr>
          <w:p>
            <w:pPr>
              <w:ind w:left="460"/>
              <w:spacing w:after="0"/>
              <w:rPr>
                <w:sz w:val="20"/>
                <w:szCs w:val="20"/>
                <w:color w:val="auto"/>
              </w:rPr>
            </w:pPr>
            <w:r>
              <w:rPr>
                <w:rFonts w:ascii="Arial" w:cs="Arial" w:eastAsia="Arial" w:hAnsi="Arial"/>
                <w:sz w:val="28"/>
                <w:szCs w:val="28"/>
                <w:b w:val="1"/>
                <w:bCs w:val="1"/>
                <w:color w:val="auto"/>
              </w:rPr>
              <w:t>Executive Officers and</w:t>
            </w:r>
          </w:p>
        </w:tc>
        <w:tc>
          <w:tcPr>
            <w:tcW w:w="3500" w:type="dxa"/>
            <w:vAlign w:val="bottom"/>
          </w:tcPr>
          <w:p>
            <w:pPr>
              <w:ind w:left="260"/>
              <w:spacing w:after="0"/>
              <w:rPr>
                <w:sz w:val="20"/>
                <w:szCs w:val="20"/>
                <w:color w:val="auto"/>
              </w:rPr>
            </w:pPr>
            <w:r>
              <w:rPr>
                <w:rFonts w:ascii="Arial" w:cs="Arial" w:eastAsia="Arial" w:hAnsi="Arial"/>
                <w:sz w:val="28"/>
                <w:szCs w:val="28"/>
                <w:b w:val="1"/>
                <w:bCs w:val="1"/>
                <w:color w:val="auto"/>
                <w:w w:val="89"/>
              </w:rPr>
              <w:t>Principal Executive Offices</w:t>
            </w: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3760" w:type="dxa"/>
            <w:vAlign w:val="bottom"/>
            <w:vMerge w:val="restart"/>
          </w:tcPr>
          <w:p>
            <w:pPr>
              <w:ind w:left="460"/>
              <w:spacing w:after="0"/>
              <w:rPr>
                <w:sz w:val="20"/>
                <w:szCs w:val="20"/>
                <w:color w:val="auto"/>
              </w:rPr>
            </w:pPr>
            <w:r>
              <w:rPr>
                <w:rFonts w:ascii="Arial" w:cs="Arial" w:eastAsia="Arial" w:hAnsi="Arial"/>
                <w:sz w:val="28"/>
                <w:szCs w:val="28"/>
                <w:b w:val="1"/>
                <w:bCs w:val="1"/>
                <w:color w:val="auto"/>
              </w:rPr>
              <w:t>Senior Management</w:t>
            </w:r>
          </w:p>
        </w:tc>
        <w:tc>
          <w:tcPr>
            <w:tcW w:w="3500" w:type="dxa"/>
            <w:vAlign w:val="bottom"/>
          </w:tcPr>
          <w:p>
            <w:pPr>
              <w:ind w:left="260"/>
              <w:spacing w:after="0" w:line="224" w:lineRule="exact"/>
              <w:rPr>
                <w:sz w:val="20"/>
                <w:szCs w:val="20"/>
                <w:color w:val="auto"/>
              </w:rPr>
            </w:pPr>
            <w:r>
              <w:rPr>
                <w:rFonts w:ascii="Arial" w:cs="Arial" w:eastAsia="Arial" w:hAnsi="Arial"/>
                <w:sz w:val="20"/>
                <w:szCs w:val="20"/>
                <w:color w:val="auto"/>
              </w:rPr>
              <w:t>245 First Street,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tc>
        <w:tc>
          <w:tcPr>
            <w:tcW w:w="0" w:type="dxa"/>
            <w:vAlign w:val="bottom"/>
          </w:tcPr>
          <w:p>
            <w:pPr>
              <w:spacing w:after="0"/>
              <w:rPr>
                <w:sz w:val="1"/>
                <w:szCs w:val="1"/>
                <w:color w:val="auto"/>
              </w:rPr>
            </w:pPr>
          </w:p>
        </w:tc>
      </w:tr>
      <w:tr>
        <w:trPr>
          <w:trHeight w:val="189"/>
        </w:trPr>
        <w:tc>
          <w:tcPr>
            <w:tcW w:w="3280" w:type="dxa"/>
            <w:vAlign w:val="bottom"/>
            <w:vMerge w:val="restart"/>
          </w:tcPr>
          <w:p>
            <w:pPr>
              <w:spacing w:after="0"/>
              <w:rPr>
                <w:sz w:val="20"/>
                <w:szCs w:val="20"/>
                <w:color w:val="auto"/>
              </w:rPr>
            </w:pPr>
            <w:r>
              <w:rPr>
                <w:rFonts w:ascii="Arial" w:cs="Arial" w:eastAsia="Arial" w:hAnsi="Arial"/>
                <w:sz w:val="22"/>
                <w:szCs w:val="22"/>
                <w:b w:val="1"/>
                <w:bCs w:val="1"/>
                <w:color w:val="auto"/>
              </w:rPr>
              <w:t>Mark A. Velleca, M.D., Ph.D.</w:t>
            </w:r>
          </w:p>
        </w:tc>
        <w:tc>
          <w:tcPr>
            <w:tcW w:w="3760" w:type="dxa"/>
            <w:vAlign w:val="bottom"/>
            <w:vMerge w:val="continue"/>
          </w:tcPr>
          <w:p>
            <w:pPr>
              <w:spacing w:after="0"/>
              <w:rPr>
                <w:sz w:val="16"/>
                <w:szCs w:val="16"/>
                <w:color w:val="auto"/>
              </w:rPr>
            </w:pPr>
          </w:p>
        </w:tc>
        <w:tc>
          <w:tcPr>
            <w:tcW w:w="3500" w:type="dxa"/>
            <w:vAlign w:val="bottom"/>
            <w:vMerge w:val="restart"/>
          </w:tcPr>
          <w:p>
            <w:pPr>
              <w:ind w:left="260"/>
              <w:spacing w:after="0"/>
              <w:rPr>
                <w:sz w:val="20"/>
                <w:szCs w:val="20"/>
                <w:color w:val="auto"/>
              </w:rPr>
            </w:pPr>
            <w:r>
              <w:rPr>
                <w:rFonts w:ascii="Arial" w:cs="Arial" w:eastAsia="Arial" w:hAnsi="Arial"/>
                <w:sz w:val="22"/>
                <w:szCs w:val="22"/>
                <w:color w:val="auto"/>
              </w:rPr>
              <w:t>Cambridge, MA 02142</w:t>
            </w:r>
          </w:p>
        </w:tc>
        <w:tc>
          <w:tcPr>
            <w:tcW w:w="0" w:type="dxa"/>
            <w:vAlign w:val="bottom"/>
          </w:tcPr>
          <w:p>
            <w:pPr>
              <w:spacing w:after="0"/>
              <w:rPr>
                <w:sz w:val="1"/>
                <w:szCs w:val="1"/>
                <w:color w:val="auto"/>
              </w:rPr>
            </w:pPr>
          </w:p>
        </w:tc>
      </w:tr>
      <w:tr>
        <w:trPr>
          <w:trHeight w:val="89"/>
        </w:trPr>
        <w:tc>
          <w:tcPr>
            <w:tcW w:w="328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20"/>
                <w:szCs w:val="20"/>
                <w:color w:val="auto"/>
              </w:rPr>
              <w:t>President, Chief Executive Officer,</w:t>
            </w:r>
          </w:p>
        </w:tc>
        <w:tc>
          <w:tcPr>
            <w:tcW w:w="3760" w:type="dxa"/>
            <w:vAlign w:val="bottom"/>
            <w:vMerge w:val="restart"/>
          </w:tcPr>
          <w:p>
            <w:pPr>
              <w:ind w:left="460"/>
              <w:spacing w:after="0"/>
              <w:rPr>
                <w:sz w:val="20"/>
                <w:szCs w:val="20"/>
                <w:color w:val="auto"/>
              </w:rPr>
            </w:pPr>
            <w:r>
              <w:rPr>
                <w:rFonts w:ascii="Arial" w:cs="Arial" w:eastAsia="Arial" w:hAnsi="Arial"/>
                <w:sz w:val="22"/>
                <w:szCs w:val="22"/>
                <w:b w:val="1"/>
                <w:bCs w:val="1"/>
                <w:color w:val="auto"/>
              </w:rPr>
              <w:t>Mark A. Velleca, M.D., Ph.D.</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280" w:type="dxa"/>
            <w:vAlign w:val="bottom"/>
            <w:vMerge w:val="restart"/>
          </w:tcPr>
          <w:p>
            <w:pPr>
              <w:spacing w:after="0"/>
              <w:rPr>
                <w:sz w:val="20"/>
                <w:szCs w:val="20"/>
                <w:color w:val="auto"/>
              </w:rPr>
            </w:pPr>
            <w:r>
              <w:rPr>
                <w:rFonts w:ascii="Arial" w:cs="Arial" w:eastAsia="Arial" w:hAnsi="Arial"/>
                <w:sz w:val="20"/>
                <w:szCs w:val="20"/>
                <w:color w:val="auto"/>
              </w:rPr>
              <w:t>Board Chairman and Director</w:t>
            </w:r>
          </w:p>
        </w:tc>
        <w:tc>
          <w:tcPr>
            <w:tcW w:w="3760" w:type="dxa"/>
            <w:vAlign w:val="bottom"/>
            <w:vMerge w:val="continue"/>
          </w:tcPr>
          <w:p>
            <w:pPr>
              <w:spacing w:after="0"/>
              <w:rPr>
                <w:sz w:val="11"/>
                <w:szCs w:val="11"/>
                <w:color w:val="auto"/>
              </w:rPr>
            </w:pPr>
          </w:p>
        </w:tc>
        <w:tc>
          <w:tcPr>
            <w:tcW w:w="3500" w:type="dxa"/>
            <w:vAlign w:val="bottom"/>
            <w:vMerge w:val="restart"/>
          </w:tcPr>
          <w:p>
            <w:pPr>
              <w:ind w:left="260"/>
              <w:spacing w:after="0"/>
              <w:rPr>
                <w:sz w:val="20"/>
                <w:szCs w:val="20"/>
                <w:color w:val="auto"/>
              </w:rPr>
            </w:pPr>
            <w:r>
              <w:rPr>
                <w:rFonts w:ascii="Arial" w:cs="Arial" w:eastAsia="Arial" w:hAnsi="Arial"/>
                <w:sz w:val="28"/>
                <w:szCs w:val="28"/>
                <w:b w:val="1"/>
                <w:bCs w:val="1"/>
                <w:color w:val="auto"/>
              </w:rPr>
              <w:t>Independent Registered</w:t>
            </w:r>
          </w:p>
        </w:tc>
        <w:tc>
          <w:tcPr>
            <w:tcW w:w="0" w:type="dxa"/>
            <w:vAlign w:val="bottom"/>
          </w:tcPr>
          <w:p>
            <w:pPr>
              <w:spacing w:after="0"/>
              <w:rPr>
                <w:sz w:val="1"/>
                <w:szCs w:val="1"/>
                <w:color w:val="auto"/>
              </w:rPr>
            </w:pPr>
          </w:p>
        </w:tc>
      </w:tr>
      <w:tr>
        <w:trPr>
          <w:trHeight w:val="96"/>
        </w:trPr>
        <w:tc>
          <w:tcPr>
            <w:tcW w:w="3280" w:type="dxa"/>
            <w:vAlign w:val="bottom"/>
            <w:vMerge w:val="continue"/>
          </w:tcPr>
          <w:p>
            <w:pPr>
              <w:spacing w:after="0"/>
              <w:rPr>
                <w:sz w:val="8"/>
                <w:szCs w:val="8"/>
                <w:color w:val="auto"/>
              </w:rPr>
            </w:pPr>
          </w:p>
        </w:tc>
        <w:tc>
          <w:tcPr>
            <w:tcW w:w="3760" w:type="dxa"/>
            <w:vAlign w:val="bottom"/>
            <w:vMerge w:val="restart"/>
          </w:tcPr>
          <w:p>
            <w:pPr>
              <w:ind w:left="460"/>
              <w:spacing w:after="0"/>
              <w:rPr>
                <w:sz w:val="20"/>
                <w:szCs w:val="20"/>
                <w:color w:val="auto"/>
              </w:rPr>
            </w:pPr>
            <w:r>
              <w:rPr>
                <w:rFonts w:ascii="Arial" w:cs="Arial" w:eastAsia="Arial" w:hAnsi="Arial"/>
                <w:sz w:val="20"/>
                <w:szCs w:val="20"/>
                <w:color w:val="auto"/>
                <w:w w:val="98"/>
              </w:rPr>
              <w:t>President and Chief Executive Officer</w:t>
            </w: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line="208" w:lineRule="exact"/>
              <w:rPr>
                <w:sz w:val="20"/>
                <w:szCs w:val="20"/>
                <w:color w:val="auto"/>
              </w:rPr>
            </w:pPr>
            <w:r>
              <w:rPr>
                <w:rFonts w:ascii="Arial" w:cs="Arial" w:eastAsia="Arial" w:hAnsi="Arial"/>
                <w:sz w:val="20"/>
                <w:szCs w:val="20"/>
                <w:color w:val="auto"/>
              </w:rPr>
              <w:t>Black Diamond Therapeutics, Inc.</w:t>
            </w:r>
          </w:p>
        </w:tc>
        <w:tc>
          <w:tcPr>
            <w:tcW w:w="3760" w:type="dxa"/>
            <w:vAlign w:val="bottom"/>
            <w:vMerge w:val="continue"/>
          </w:tcPr>
          <w:p>
            <w:pPr>
              <w:spacing w:after="0"/>
              <w:rPr>
                <w:sz w:val="18"/>
                <w:szCs w:val="18"/>
                <w:color w:val="auto"/>
              </w:rPr>
            </w:pPr>
          </w:p>
        </w:tc>
        <w:tc>
          <w:tcPr>
            <w:tcW w:w="3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280" w:type="dxa"/>
            <w:vAlign w:val="bottom"/>
            <w:vMerge w:val="restart"/>
          </w:tcPr>
          <w:p>
            <w:pPr>
              <w:spacing w:after="0"/>
              <w:rPr>
                <w:sz w:val="20"/>
                <w:szCs w:val="20"/>
                <w:color w:val="auto"/>
              </w:rPr>
            </w:pPr>
            <w:r>
              <w:rPr>
                <w:rFonts w:ascii="Arial" w:cs="Arial" w:eastAsia="Arial" w:hAnsi="Arial"/>
                <w:sz w:val="22"/>
                <w:szCs w:val="22"/>
                <w:b w:val="1"/>
                <w:bCs w:val="1"/>
                <w:color w:val="auto"/>
              </w:rPr>
              <w:t>Ali Behbahani, M.D.</w:t>
            </w:r>
          </w:p>
        </w:tc>
        <w:tc>
          <w:tcPr>
            <w:tcW w:w="3760" w:type="dxa"/>
            <w:vAlign w:val="bottom"/>
            <w:vMerge w:val="restart"/>
          </w:tcPr>
          <w:p>
            <w:pPr>
              <w:ind w:left="460"/>
              <w:spacing w:after="0"/>
              <w:rPr>
                <w:sz w:val="20"/>
                <w:szCs w:val="20"/>
                <w:color w:val="auto"/>
              </w:rPr>
            </w:pPr>
            <w:r>
              <w:rPr>
                <w:rFonts w:ascii="Arial" w:cs="Arial" w:eastAsia="Arial" w:hAnsi="Arial"/>
                <w:sz w:val="22"/>
                <w:szCs w:val="22"/>
                <w:b w:val="1"/>
                <w:bCs w:val="1"/>
                <w:color w:val="auto"/>
              </w:rPr>
              <w:t>Brent Hatzis-Schoch, Esq.</w:t>
            </w:r>
          </w:p>
        </w:tc>
        <w:tc>
          <w:tcPr>
            <w:tcW w:w="3500" w:type="dxa"/>
            <w:vAlign w:val="bottom"/>
          </w:tcPr>
          <w:p>
            <w:pPr>
              <w:ind w:left="260"/>
              <w:spacing w:after="0" w:line="284" w:lineRule="exact"/>
              <w:rPr>
                <w:sz w:val="20"/>
                <w:szCs w:val="20"/>
                <w:color w:val="auto"/>
              </w:rPr>
            </w:pPr>
            <w:r>
              <w:rPr>
                <w:rFonts w:ascii="Arial" w:cs="Arial" w:eastAsia="Arial" w:hAnsi="Arial"/>
                <w:sz w:val="28"/>
                <w:szCs w:val="28"/>
                <w:b w:val="1"/>
                <w:bCs w:val="1"/>
                <w:color w:val="auto"/>
              </w:rPr>
              <w:t>Public Accounting Firm</w:t>
            </w:r>
          </w:p>
        </w:tc>
        <w:tc>
          <w:tcPr>
            <w:tcW w:w="0" w:type="dxa"/>
            <w:vAlign w:val="bottom"/>
          </w:tcPr>
          <w:p>
            <w:pPr>
              <w:spacing w:after="0"/>
              <w:rPr>
                <w:sz w:val="1"/>
                <w:szCs w:val="1"/>
                <w:color w:val="auto"/>
              </w:rPr>
            </w:pPr>
          </w:p>
        </w:tc>
      </w:tr>
      <w:tr>
        <w:trPr>
          <w:trHeight w:val="217"/>
        </w:trPr>
        <w:tc>
          <w:tcPr>
            <w:tcW w:w="3280" w:type="dxa"/>
            <w:vAlign w:val="bottom"/>
            <w:vMerge w:val="continue"/>
          </w:tcPr>
          <w:p>
            <w:pPr>
              <w:spacing w:after="0"/>
              <w:rPr>
                <w:sz w:val="18"/>
                <w:szCs w:val="18"/>
                <w:color w:val="auto"/>
              </w:rPr>
            </w:pPr>
          </w:p>
        </w:tc>
        <w:tc>
          <w:tcPr>
            <w:tcW w:w="3760" w:type="dxa"/>
            <w:vAlign w:val="bottom"/>
            <w:vMerge w:val="continue"/>
          </w:tcPr>
          <w:p>
            <w:pPr>
              <w:spacing w:after="0"/>
              <w:rPr>
                <w:sz w:val="18"/>
                <w:szCs w:val="18"/>
                <w:color w:val="auto"/>
              </w:rPr>
            </w:pPr>
          </w:p>
        </w:tc>
        <w:tc>
          <w:tcPr>
            <w:tcW w:w="3500" w:type="dxa"/>
            <w:vAlign w:val="bottom"/>
          </w:tcPr>
          <w:p>
            <w:pPr>
              <w:ind w:left="260"/>
              <w:spacing w:after="0" w:line="217" w:lineRule="exact"/>
              <w:rPr>
                <w:sz w:val="20"/>
                <w:szCs w:val="20"/>
                <w:color w:val="auto"/>
              </w:rPr>
            </w:pPr>
            <w:r>
              <w:rPr>
                <w:rFonts w:ascii="Arial" w:cs="Arial" w:eastAsia="Arial" w:hAnsi="Arial"/>
                <w:sz w:val="20"/>
                <w:szCs w:val="20"/>
                <w:color w:val="auto"/>
              </w:rPr>
              <w:t>PricewaterhouseCoopers LLP</w:t>
            </w: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r>
              <w:rPr>
                <w:rFonts w:ascii="Arial" w:cs="Arial" w:eastAsia="Arial" w:hAnsi="Arial"/>
                <w:sz w:val="20"/>
                <w:szCs w:val="20"/>
                <w:color w:val="auto"/>
              </w:rPr>
              <w:t>Partner and Co-Head of Healthcare</w:t>
            </w:r>
          </w:p>
        </w:tc>
        <w:tc>
          <w:tcPr>
            <w:tcW w:w="3760" w:type="dxa"/>
            <w:vAlign w:val="bottom"/>
          </w:tcPr>
          <w:p>
            <w:pPr>
              <w:ind w:left="460"/>
              <w:spacing w:after="0"/>
              <w:rPr>
                <w:sz w:val="20"/>
                <w:szCs w:val="20"/>
                <w:color w:val="auto"/>
              </w:rPr>
            </w:pPr>
            <w:r>
              <w:rPr>
                <w:rFonts w:ascii="Arial" w:cs="Arial" w:eastAsia="Arial" w:hAnsi="Arial"/>
                <w:sz w:val="20"/>
                <w:szCs w:val="20"/>
                <w:color w:val="auto"/>
              </w:rPr>
              <w:t>Chief Operating Officer and</w:t>
            </w:r>
          </w:p>
        </w:tc>
        <w:tc>
          <w:tcPr>
            <w:tcW w:w="3500" w:type="dxa"/>
            <w:vAlign w:val="bottom"/>
          </w:tcPr>
          <w:p>
            <w:pPr>
              <w:ind w:left="260"/>
              <w:spacing w:after="0"/>
              <w:rPr>
                <w:sz w:val="20"/>
                <w:szCs w:val="20"/>
                <w:color w:val="auto"/>
              </w:rPr>
            </w:pPr>
            <w:r>
              <w:rPr>
                <w:rFonts w:ascii="Arial" w:cs="Arial" w:eastAsia="Arial" w:hAnsi="Arial"/>
                <w:sz w:val="20"/>
                <w:szCs w:val="20"/>
                <w:color w:val="auto"/>
              </w:rPr>
              <w:t>Boston, Massachusetts</w:t>
            </w:r>
          </w:p>
        </w:tc>
        <w:tc>
          <w:tcPr>
            <w:tcW w:w="0" w:type="dxa"/>
            <w:vAlign w:val="bottom"/>
          </w:tcPr>
          <w:p>
            <w:pPr>
              <w:spacing w:after="0"/>
              <w:rPr>
                <w:sz w:val="1"/>
                <w:szCs w:val="1"/>
                <w:color w:val="auto"/>
              </w:rPr>
            </w:pPr>
          </w:p>
        </w:tc>
      </w:tr>
      <w:tr>
        <w:trPr>
          <w:trHeight w:val="229"/>
        </w:trPr>
        <w:tc>
          <w:tcPr>
            <w:tcW w:w="3280" w:type="dxa"/>
            <w:vAlign w:val="bottom"/>
            <w:vMerge w:val="restart"/>
          </w:tcPr>
          <w:p>
            <w:pPr>
              <w:spacing w:after="0"/>
              <w:rPr>
                <w:sz w:val="20"/>
                <w:szCs w:val="20"/>
                <w:color w:val="auto"/>
              </w:rPr>
            </w:pPr>
            <w:r>
              <w:rPr>
                <w:rFonts w:ascii="Arial" w:cs="Arial" w:eastAsia="Arial" w:hAnsi="Arial"/>
                <w:sz w:val="20"/>
                <w:szCs w:val="20"/>
                <w:color w:val="auto"/>
              </w:rPr>
              <w:t>New Enterprise Associates, Inc.</w:t>
            </w:r>
          </w:p>
        </w:tc>
        <w:tc>
          <w:tcPr>
            <w:tcW w:w="3760" w:type="dxa"/>
            <w:vAlign w:val="bottom"/>
          </w:tcPr>
          <w:p>
            <w:pPr>
              <w:ind w:left="460"/>
              <w:spacing w:after="0"/>
              <w:rPr>
                <w:sz w:val="20"/>
                <w:szCs w:val="20"/>
                <w:color w:val="auto"/>
              </w:rPr>
            </w:pPr>
            <w:r>
              <w:rPr>
                <w:rFonts w:ascii="Arial" w:cs="Arial" w:eastAsia="Arial" w:hAnsi="Arial"/>
                <w:sz w:val="20"/>
                <w:szCs w:val="20"/>
                <w:color w:val="auto"/>
              </w:rPr>
              <w:t>General Counsel</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vMerge w:val="continue"/>
          </w:tcPr>
          <w:p>
            <w:pPr>
              <w:spacing w:after="0"/>
              <w:rPr>
                <w:sz w:val="4"/>
                <w:szCs w:val="4"/>
                <w:color w:val="auto"/>
              </w:rPr>
            </w:pPr>
          </w:p>
        </w:tc>
        <w:tc>
          <w:tcPr>
            <w:tcW w:w="3760" w:type="dxa"/>
            <w:vAlign w:val="bottom"/>
          </w:tcPr>
          <w:p>
            <w:pPr>
              <w:spacing w:after="0"/>
              <w:rPr>
                <w:sz w:val="4"/>
                <w:szCs w:val="4"/>
                <w:color w:val="auto"/>
              </w:rPr>
            </w:pPr>
          </w:p>
        </w:tc>
        <w:tc>
          <w:tcPr>
            <w:tcW w:w="35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1">
            <w:col w:w="10720"/>
          </w:cols>
          <w:pgMar w:left="640" w:top="793" w:right="520" w:bottom="1440" w:gutter="0" w:footer="0" w:header="0"/>
        </w:sectPr>
      </w:pP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360" w:type="dxa"/>
            <w:vAlign w:val="bottom"/>
          </w:tcPr>
          <w:p>
            <w:pPr>
              <w:spacing w:after="0"/>
              <w:rPr>
                <w:sz w:val="20"/>
                <w:szCs w:val="20"/>
                <w:color w:val="auto"/>
              </w:rPr>
            </w:pPr>
            <w:r>
              <w:rPr>
                <w:rFonts w:ascii="Arial" w:cs="Arial" w:eastAsia="Arial" w:hAnsi="Arial"/>
                <w:sz w:val="22"/>
                <w:szCs w:val="22"/>
                <w:b w:val="1"/>
                <w:bCs w:val="1"/>
                <w:color w:val="auto"/>
              </w:rPr>
              <w:t>Shannon Campbell</w:t>
            </w:r>
          </w:p>
        </w:tc>
        <w:tc>
          <w:tcPr>
            <w:tcW w:w="2860" w:type="dxa"/>
            <w:vAlign w:val="bottom"/>
          </w:tcPr>
          <w:p>
            <w:pPr>
              <w:ind w:left="380"/>
              <w:spacing w:after="0"/>
              <w:rPr>
                <w:sz w:val="20"/>
                <w:szCs w:val="20"/>
                <w:color w:val="auto"/>
              </w:rPr>
            </w:pPr>
            <w:r>
              <w:rPr>
                <w:rFonts w:ascii="Arial" w:cs="Arial" w:eastAsia="Arial" w:hAnsi="Arial"/>
                <w:sz w:val="22"/>
                <w:szCs w:val="22"/>
                <w:b w:val="1"/>
                <w:bCs w:val="1"/>
                <w:color w:val="auto"/>
              </w:rPr>
              <w:t>Elizabeth Buck, Ph.D.</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0"/>
                <w:szCs w:val="20"/>
                <w:color w:val="auto"/>
              </w:rPr>
            </w:pPr>
            <w:r>
              <w:rPr>
                <w:rFonts w:ascii="Arial" w:cs="Arial" w:eastAsia="Arial" w:hAnsi="Arial"/>
                <w:sz w:val="20"/>
                <w:szCs w:val="20"/>
                <w:color w:val="auto"/>
              </w:rPr>
              <w:t>Former Executive Vice President and</w:t>
            </w:r>
          </w:p>
        </w:tc>
        <w:tc>
          <w:tcPr>
            <w:tcW w:w="2860" w:type="dxa"/>
            <w:vAlign w:val="bottom"/>
          </w:tcPr>
          <w:p>
            <w:pPr>
              <w:ind w:left="380"/>
              <w:spacing w:after="0"/>
              <w:rPr>
                <w:sz w:val="20"/>
                <w:szCs w:val="20"/>
                <w:color w:val="auto"/>
              </w:rPr>
            </w:pPr>
            <w:r>
              <w:rPr>
                <w:rFonts w:ascii="Arial" w:cs="Arial" w:eastAsia="Arial" w:hAnsi="Arial"/>
                <w:sz w:val="20"/>
                <w:szCs w:val="20"/>
                <w:color w:val="auto"/>
              </w:rPr>
              <w:t>Chief Scientific Officer</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20"/>
                <w:szCs w:val="20"/>
                <w:color w:val="auto"/>
              </w:rPr>
              <w:t>Chief Commercial Officer</w:t>
            </w:r>
          </w:p>
        </w:tc>
        <w:tc>
          <w:tcPr>
            <w:tcW w:w="2860" w:type="dxa"/>
            <w:vAlign w:val="bottom"/>
            <w:vMerge w:val="restart"/>
          </w:tcPr>
          <w:p>
            <w:pPr>
              <w:ind w:left="380"/>
              <w:spacing w:after="0"/>
              <w:rPr>
                <w:sz w:val="20"/>
                <w:szCs w:val="20"/>
                <w:color w:val="auto"/>
              </w:rPr>
            </w:pPr>
            <w:r>
              <w:rPr>
                <w:rFonts w:ascii="Arial" w:cs="Arial" w:eastAsia="Arial" w:hAnsi="Arial"/>
                <w:sz w:val="22"/>
                <w:szCs w:val="22"/>
                <w:b w:val="1"/>
                <w:bCs w:val="1"/>
                <w:color w:val="auto"/>
              </w:rPr>
              <w:t>Sergey Yurasov, M.D.,</w:t>
            </w:r>
          </w:p>
        </w:tc>
        <w:tc>
          <w:tcPr>
            <w:tcW w:w="0" w:type="dxa"/>
            <w:vAlign w:val="bottom"/>
          </w:tcPr>
          <w:p>
            <w:pPr>
              <w:spacing w:after="0"/>
              <w:rPr>
                <w:sz w:val="1"/>
                <w:szCs w:val="1"/>
                <w:color w:val="auto"/>
              </w:rPr>
            </w:pPr>
          </w:p>
        </w:tc>
      </w:tr>
      <w:tr>
        <w:trPr>
          <w:trHeight w:val="198"/>
        </w:trPr>
        <w:tc>
          <w:tcPr>
            <w:tcW w:w="3360" w:type="dxa"/>
            <w:vAlign w:val="bottom"/>
          </w:tcPr>
          <w:p>
            <w:pPr>
              <w:spacing w:after="0" w:line="199" w:lineRule="exact"/>
              <w:rPr>
                <w:sz w:val="20"/>
                <w:szCs w:val="20"/>
                <w:color w:val="auto"/>
              </w:rPr>
            </w:pPr>
            <w:r>
              <w:rPr>
                <w:rFonts w:ascii="Arial" w:cs="Arial" w:eastAsia="Arial" w:hAnsi="Arial"/>
                <w:sz w:val="20"/>
                <w:szCs w:val="20"/>
                <w:color w:val="auto"/>
              </w:rPr>
              <w:t>Merus N.V.</w:t>
            </w: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360" w:type="dxa"/>
            <w:vAlign w:val="bottom"/>
          </w:tcPr>
          <w:p>
            <w:pPr>
              <w:spacing w:after="0"/>
              <w:rPr>
                <w:sz w:val="22"/>
                <w:szCs w:val="22"/>
                <w:color w:val="auto"/>
              </w:rPr>
            </w:pPr>
          </w:p>
        </w:tc>
        <w:tc>
          <w:tcPr>
            <w:tcW w:w="2860" w:type="dxa"/>
            <w:vAlign w:val="bottom"/>
          </w:tcPr>
          <w:p>
            <w:pPr>
              <w:ind w:left="380"/>
              <w:spacing w:after="0"/>
              <w:rPr>
                <w:sz w:val="20"/>
                <w:szCs w:val="20"/>
                <w:color w:val="auto"/>
              </w:rPr>
            </w:pPr>
            <w:r>
              <w:rPr>
                <w:rFonts w:ascii="Arial" w:cs="Arial" w:eastAsia="Arial" w:hAnsi="Arial"/>
                <w:sz w:val="22"/>
                <w:szCs w:val="22"/>
                <w:b w:val="1"/>
                <w:bCs w:val="1"/>
                <w:color w:val="auto"/>
              </w:rPr>
              <w:t>Ph.D.</w:t>
            </w:r>
          </w:p>
        </w:tc>
        <w:tc>
          <w:tcPr>
            <w:tcW w:w="0" w:type="dxa"/>
            <w:vAlign w:val="bottom"/>
          </w:tcPr>
          <w:p>
            <w:pPr>
              <w:spacing w:after="0"/>
              <w:rPr>
                <w:sz w:val="1"/>
                <w:szCs w:val="1"/>
                <w:color w:val="auto"/>
              </w:rPr>
            </w:pPr>
          </w:p>
        </w:tc>
      </w:tr>
      <w:tr>
        <w:trPr>
          <w:trHeight w:val="278"/>
        </w:trPr>
        <w:tc>
          <w:tcPr>
            <w:tcW w:w="3360" w:type="dxa"/>
            <w:vAlign w:val="bottom"/>
          </w:tcPr>
          <w:p>
            <w:pPr>
              <w:spacing w:after="0"/>
              <w:rPr>
                <w:sz w:val="20"/>
                <w:szCs w:val="20"/>
                <w:color w:val="auto"/>
              </w:rPr>
            </w:pPr>
            <w:r>
              <w:rPr>
                <w:rFonts w:ascii="Arial" w:cs="Arial" w:eastAsia="Arial" w:hAnsi="Arial"/>
                <w:sz w:val="22"/>
                <w:szCs w:val="22"/>
                <w:b w:val="1"/>
                <w:bCs w:val="1"/>
                <w:color w:val="auto"/>
              </w:rPr>
              <w:t>Kapil Dhingra, M.B.B.S.</w:t>
            </w:r>
          </w:p>
        </w:tc>
        <w:tc>
          <w:tcPr>
            <w:tcW w:w="2860" w:type="dxa"/>
            <w:vAlign w:val="bottom"/>
          </w:tcPr>
          <w:p>
            <w:pPr>
              <w:ind w:left="380"/>
              <w:spacing w:after="0"/>
              <w:rPr>
                <w:sz w:val="20"/>
                <w:szCs w:val="20"/>
                <w:color w:val="auto"/>
              </w:rPr>
            </w:pPr>
            <w:r>
              <w:rPr>
                <w:rFonts w:ascii="Arial" w:cs="Arial" w:eastAsia="Arial" w:hAnsi="Arial"/>
                <w:sz w:val="20"/>
                <w:szCs w:val="20"/>
                <w:color w:val="auto"/>
              </w:rPr>
              <w:t>Chief Medical Officer</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20"/>
                <w:szCs w:val="20"/>
                <w:color w:val="auto"/>
              </w:rPr>
              <w:t>Managing Member</w:t>
            </w:r>
          </w:p>
        </w:tc>
        <w:tc>
          <w:tcPr>
            <w:tcW w:w="2860" w:type="dxa"/>
            <w:vAlign w:val="bottom"/>
            <w:vMerge w:val="restart"/>
          </w:tcPr>
          <w:p>
            <w:pPr>
              <w:ind w:left="380"/>
              <w:spacing w:after="0"/>
              <w:rPr>
                <w:sz w:val="20"/>
                <w:szCs w:val="20"/>
                <w:color w:val="auto"/>
              </w:rPr>
            </w:pPr>
            <w:r>
              <w:rPr>
                <w:rFonts w:ascii="Arial" w:cs="Arial" w:eastAsia="Arial" w:hAnsi="Arial"/>
                <w:sz w:val="22"/>
                <w:szCs w:val="22"/>
                <w:b w:val="1"/>
                <w:bCs w:val="1"/>
                <w:color w:val="auto"/>
              </w:rPr>
              <w:t>Melanie Morrison</w:t>
            </w:r>
          </w:p>
        </w:tc>
        <w:tc>
          <w:tcPr>
            <w:tcW w:w="0" w:type="dxa"/>
            <w:vAlign w:val="bottom"/>
          </w:tcPr>
          <w:p>
            <w:pPr>
              <w:spacing w:after="0"/>
              <w:rPr>
                <w:sz w:val="1"/>
                <w:szCs w:val="1"/>
                <w:color w:val="auto"/>
              </w:rPr>
            </w:pPr>
          </w:p>
        </w:tc>
      </w:tr>
      <w:tr>
        <w:trPr>
          <w:trHeight w:val="208"/>
        </w:trPr>
        <w:tc>
          <w:tcPr>
            <w:tcW w:w="3360" w:type="dxa"/>
            <w:vAlign w:val="bottom"/>
          </w:tcPr>
          <w:p>
            <w:pPr>
              <w:spacing w:after="0" w:line="208" w:lineRule="exact"/>
              <w:rPr>
                <w:sz w:val="20"/>
                <w:szCs w:val="20"/>
                <w:color w:val="auto"/>
              </w:rPr>
            </w:pPr>
            <w:r>
              <w:rPr>
                <w:rFonts w:ascii="Arial" w:cs="Arial" w:eastAsia="Arial" w:hAnsi="Arial"/>
                <w:sz w:val="20"/>
                <w:szCs w:val="20"/>
                <w:color w:val="auto"/>
              </w:rPr>
              <w:t>KAPital Consulting, LLC</w:t>
            </w: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360" w:type="dxa"/>
            <w:vAlign w:val="bottom"/>
          </w:tcPr>
          <w:p>
            <w:pPr>
              <w:spacing w:after="0"/>
              <w:rPr>
                <w:sz w:val="23"/>
                <w:szCs w:val="23"/>
                <w:color w:val="auto"/>
              </w:rPr>
            </w:pPr>
          </w:p>
        </w:tc>
        <w:tc>
          <w:tcPr>
            <w:tcW w:w="2860" w:type="dxa"/>
            <w:vAlign w:val="bottom"/>
          </w:tcPr>
          <w:p>
            <w:pPr>
              <w:ind w:left="380"/>
              <w:spacing w:after="0"/>
              <w:rPr>
                <w:sz w:val="20"/>
                <w:szCs w:val="20"/>
                <w:color w:val="auto"/>
              </w:rPr>
            </w:pPr>
            <w:r>
              <w:rPr>
                <w:rFonts w:ascii="Arial" w:cs="Arial" w:eastAsia="Arial" w:hAnsi="Arial"/>
                <w:sz w:val="20"/>
                <w:szCs w:val="20"/>
                <w:color w:val="auto"/>
              </w:rPr>
              <w:t>Chief Development Officer</w:t>
            </w:r>
          </w:p>
        </w:tc>
        <w:tc>
          <w:tcPr>
            <w:tcW w:w="0" w:type="dxa"/>
            <w:vAlign w:val="bottom"/>
          </w:tcPr>
          <w:p>
            <w:pPr>
              <w:spacing w:after="0"/>
              <w:rPr>
                <w:sz w:val="1"/>
                <w:szCs w:val="1"/>
                <w:color w:val="auto"/>
              </w:rPr>
            </w:pPr>
          </w:p>
        </w:tc>
      </w:tr>
      <w:tr>
        <w:trPr>
          <w:trHeight w:val="259"/>
        </w:trPr>
        <w:tc>
          <w:tcPr>
            <w:tcW w:w="3360" w:type="dxa"/>
            <w:vAlign w:val="bottom"/>
          </w:tcPr>
          <w:p>
            <w:pPr>
              <w:spacing w:after="0"/>
              <w:rPr>
                <w:sz w:val="20"/>
                <w:szCs w:val="20"/>
                <w:color w:val="auto"/>
              </w:rPr>
            </w:pPr>
            <w:r>
              <w:rPr>
                <w:rFonts w:ascii="Arial" w:cs="Arial" w:eastAsia="Arial" w:hAnsi="Arial"/>
                <w:sz w:val="22"/>
                <w:szCs w:val="22"/>
                <w:b w:val="1"/>
                <w:bCs w:val="1"/>
                <w:color w:val="auto"/>
              </w:rPr>
              <w:t>Samarth Kulkarni, Ph.D.</w:t>
            </w:r>
          </w:p>
        </w:tc>
        <w:tc>
          <w:tcPr>
            <w:tcW w:w="2860" w:type="dxa"/>
            <w:vAlign w:val="bottom"/>
            <w:vMerge w:val="restart"/>
          </w:tcPr>
          <w:p>
            <w:pPr>
              <w:ind w:left="380"/>
              <w:spacing w:after="0"/>
              <w:rPr>
                <w:sz w:val="20"/>
                <w:szCs w:val="20"/>
                <w:color w:val="auto"/>
              </w:rPr>
            </w:pPr>
            <w:r>
              <w:rPr>
                <w:rFonts w:ascii="Arial" w:cs="Arial" w:eastAsia="Arial" w:hAnsi="Arial"/>
                <w:sz w:val="22"/>
                <w:szCs w:val="22"/>
                <w:b w:val="1"/>
                <w:bCs w:val="1"/>
                <w:color w:val="auto"/>
              </w:rPr>
              <w:t>Erika Jones</w:t>
            </w:r>
          </w:p>
        </w:tc>
        <w:tc>
          <w:tcPr>
            <w:tcW w:w="0" w:type="dxa"/>
            <w:vAlign w:val="bottom"/>
          </w:tcPr>
          <w:p>
            <w:pPr>
              <w:spacing w:after="0"/>
              <w:rPr>
                <w:sz w:val="1"/>
                <w:szCs w:val="1"/>
                <w:color w:val="auto"/>
              </w:rPr>
            </w:pPr>
          </w:p>
        </w:tc>
      </w:tr>
      <w:tr>
        <w:trPr>
          <w:trHeight w:val="208"/>
        </w:trPr>
        <w:tc>
          <w:tcPr>
            <w:tcW w:w="3360" w:type="dxa"/>
            <w:vAlign w:val="bottom"/>
          </w:tcPr>
          <w:p>
            <w:pPr>
              <w:spacing w:after="0" w:line="208" w:lineRule="exact"/>
              <w:rPr>
                <w:sz w:val="20"/>
                <w:szCs w:val="20"/>
                <w:color w:val="auto"/>
              </w:rPr>
            </w:pPr>
            <w:r>
              <w:rPr>
                <w:rFonts w:ascii="Arial" w:cs="Arial" w:eastAsia="Arial" w:hAnsi="Arial"/>
                <w:sz w:val="20"/>
                <w:szCs w:val="20"/>
                <w:color w:val="auto"/>
              </w:rPr>
              <w:t>Chief Executive Officer</w:t>
            </w: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20"/>
                <w:szCs w:val="20"/>
                <w:color w:val="auto"/>
              </w:rPr>
              <w:t>CRISPR Therapeutics AG</w:t>
            </w:r>
          </w:p>
        </w:tc>
        <w:tc>
          <w:tcPr>
            <w:tcW w:w="2860" w:type="dxa"/>
            <w:vAlign w:val="bottom"/>
          </w:tcPr>
          <w:p>
            <w:pPr>
              <w:ind w:left="380"/>
              <w:spacing w:after="0"/>
              <w:rPr>
                <w:sz w:val="20"/>
                <w:szCs w:val="20"/>
                <w:color w:val="auto"/>
              </w:rPr>
            </w:pPr>
            <w:r>
              <w:rPr>
                <w:rFonts w:ascii="Arial" w:cs="Arial" w:eastAsia="Arial" w:hAnsi="Arial"/>
                <w:sz w:val="20"/>
                <w:szCs w:val="20"/>
                <w:color w:val="auto"/>
                <w:w w:val="89"/>
              </w:rPr>
              <w:t>Senior Vice President, Finance</w:t>
            </w:r>
          </w:p>
        </w:tc>
        <w:tc>
          <w:tcPr>
            <w:tcW w:w="0" w:type="dxa"/>
            <w:vAlign w:val="bottom"/>
          </w:tcPr>
          <w:p>
            <w:pPr>
              <w:spacing w:after="0"/>
              <w:rPr>
                <w:sz w:val="1"/>
                <w:szCs w:val="1"/>
                <w:color w:val="auto"/>
              </w:rPr>
            </w:pPr>
          </w:p>
        </w:tc>
      </w:tr>
      <w:tr>
        <w:trPr>
          <w:trHeight w:val="226"/>
        </w:trPr>
        <w:tc>
          <w:tcPr>
            <w:tcW w:w="3360" w:type="dxa"/>
            <w:vAlign w:val="bottom"/>
          </w:tcPr>
          <w:p>
            <w:pPr>
              <w:spacing w:after="0"/>
              <w:rPr>
                <w:sz w:val="19"/>
                <w:szCs w:val="19"/>
                <w:color w:val="auto"/>
              </w:rPr>
            </w:pPr>
          </w:p>
        </w:tc>
        <w:tc>
          <w:tcPr>
            <w:tcW w:w="2860" w:type="dxa"/>
            <w:vAlign w:val="bottom"/>
          </w:tcPr>
          <w:p>
            <w:pPr>
              <w:ind w:left="380"/>
              <w:spacing w:after="0" w:line="227" w:lineRule="exact"/>
              <w:rPr>
                <w:sz w:val="20"/>
                <w:szCs w:val="20"/>
                <w:color w:val="auto"/>
              </w:rPr>
            </w:pPr>
            <w:r>
              <w:rPr>
                <w:rFonts w:ascii="Arial" w:cs="Arial" w:eastAsia="Arial" w:hAnsi="Arial"/>
                <w:sz w:val="20"/>
                <w:szCs w:val="20"/>
                <w:color w:val="auto"/>
                <w:w w:val="92"/>
              </w:rPr>
              <w:t>Principal Financial Officer and</w:t>
            </w:r>
          </w:p>
        </w:tc>
        <w:tc>
          <w:tcPr>
            <w:tcW w:w="0" w:type="dxa"/>
            <w:vAlign w:val="bottom"/>
          </w:tcPr>
          <w:p>
            <w:pPr>
              <w:spacing w:after="0"/>
              <w:rPr>
                <w:sz w:val="1"/>
                <w:szCs w:val="1"/>
                <w:color w:val="auto"/>
              </w:rPr>
            </w:pPr>
          </w:p>
        </w:tc>
      </w:tr>
      <w:tr>
        <w:trPr>
          <w:trHeight w:val="301"/>
        </w:trPr>
        <w:tc>
          <w:tcPr>
            <w:tcW w:w="3360" w:type="dxa"/>
            <w:vAlign w:val="bottom"/>
          </w:tcPr>
          <w:p>
            <w:pPr>
              <w:spacing w:after="0"/>
              <w:rPr>
                <w:sz w:val="20"/>
                <w:szCs w:val="20"/>
                <w:color w:val="auto"/>
              </w:rPr>
            </w:pPr>
            <w:r>
              <w:rPr>
                <w:rFonts w:ascii="Arial" w:cs="Arial" w:eastAsia="Arial" w:hAnsi="Arial"/>
                <w:sz w:val="22"/>
                <w:szCs w:val="22"/>
                <w:b w:val="1"/>
                <w:bCs w:val="1"/>
                <w:color w:val="auto"/>
              </w:rPr>
              <w:t>Garry E. Menzel, Ph.D.</w:t>
            </w:r>
          </w:p>
        </w:tc>
        <w:tc>
          <w:tcPr>
            <w:tcW w:w="2860" w:type="dxa"/>
            <w:vAlign w:val="bottom"/>
          </w:tcPr>
          <w:p>
            <w:pPr>
              <w:ind w:left="380"/>
              <w:spacing w:after="0"/>
              <w:rPr>
                <w:sz w:val="20"/>
                <w:szCs w:val="20"/>
                <w:color w:val="auto"/>
              </w:rPr>
            </w:pPr>
            <w:r>
              <w:rPr>
                <w:rFonts w:ascii="Arial" w:cs="Arial" w:eastAsia="Arial" w:hAnsi="Arial"/>
                <w:sz w:val="20"/>
                <w:szCs w:val="20"/>
                <w:color w:val="auto"/>
              </w:rPr>
              <w:t>Principal Accounting Officer</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20"/>
                <w:szCs w:val="20"/>
                <w:color w:val="auto"/>
              </w:rPr>
              <w:t>Operating Partner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360" w:type="dxa"/>
            <w:vAlign w:val="bottom"/>
          </w:tcPr>
          <w:p>
            <w:pPr>
              <w:spacing w:after="0"/>
              <w:rPr>
                <w:sz w:val="20"/>
                <w:szCs w:val="20"/>
                <w:color w:val="auto"/>
              </w:rPr>
            </w:pPr>
            <w:r>
              <w:rPr>
                <w:rFonts w:ascii="Arial" w:cs="Arial" w:eastAsia="Arial" w:hAnsi="Arial"/>
                <w:sz w:val="20"/>
                <w:szCs w:val="20"/>
                <w:color w:val="auto"/>
              </w:rPr>
              <w:t>GHO Capital Partners LLP</w:t>
            </w: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3360" w:type="dxa"/>
            <w:vAlign w:val="bottom"/>
          </w:tcPr>
          <w:p>
            <w:pPr>
              <w:spacing w:after="0"/>
              <w:rPr>
                <w:sz w:val="20"/>
                <w:szCs w:val="20"/>
                <w:color w:val="auto"/>
              </w:rPr>
            </w:pPr>
            <w:r>
              <w:rPr>
                <w:rFonts w:ascii="Arial" w:cs="Arial" w:eastAsia="Arial" w:hAnsi="Arial"/>
                <w:sz w:val="22"/>
                <w:szCs w:val="22"/>
                <w:b w:val="1"/>
                <w:bCs w:val="1"/>
                <w:color w:val="auto"/>
              </w:rPr>
              <w:t>Prakash Raman, Ph.D.</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360" w:type="dxa"/>
            <w:vAlign w:val="bottom"/>
          </w:tcPr>
          <w:p>
            <w:pPr>
              <w:spacing w:after="0"/>
              <w:rPr>
                <w:sz w:val="20"/>
                <w:szCs w:val="20"/>
                <w:color w:val="auto"/>
              </w:rPr>
            </w:pPr>
            <w:r>
              <w:rPr>
                <w:rFonts w:ascii="Arial" w:cs="Arial" w:eastAsia="Arial" w:hAnsi="Arial"/>
                <w:sz w:val="20"/>
                <w:szCs w:val="20"/>
                <w:color w:val="auto"/>
              </w:rPr>
              <w:t>InduPro, Inc.</w:t>
            </w:r>
          </w:p>
        </w:tc>
        <w:tc>
          <w:tcPr>
            <w:tcW w:w="2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28"/>
          <w:szCs w:val="28"/>
          <w:b w:val="1"/>
          <w:bCs w:val="1"/>
          <w:color w:val="auto"/>
        </w:rPr>
        <w:t>Transfer Agent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Computershare Trust Company, N.A.</w:t>
      </w:r>
    </w:p>
    <w:p>
      <w:pPr>
        <w:spacing w:after="0"/>
        <w:rPr>
          <w:sz w:val="20"/>
          <w:szCs w:val="20"/>
          <w:color w:val="auto"/>
        </w:rPr>
      </w:pPr>
      <w:r>
        <w:rPr>
          <w:rFonts w:ascii="Arial" w:cs="Arial" w:eastAsia="Arial" w:hAnsi="Arial"/>
          <w:sz w:val="20"/>
          <w:szCs w:val="20"/>
          <w:color w:val="auto"/>
        </w:rPr>
        <w:t>150 Royall Street</w:t>
      </w:r>
    </w:p>
    <w:p>
      <w:pPr>
        <w:spacing w:after="0"/>
        <w:rPr>
          <w:sz w:val="20"/>
          <w:szCs w:val="20"/>
          <w:color w:val="auto"/>
        </w:rPr>
      </w:pPr>
      <w:r>
        <w:rPr>
          <w:rFonts w:ascii="Arial" w:cs="Arial" w:eastAsia="Arial" w:hAnsi="Arial"/>
          <w:sz w:val="20"/>
          <w:szCs w:val="20"/>
          <w:color w:val="auto"/>
        </w:rPr>
        <w:t>Canton, MA 02021</w:t>
      </w:r>
    </w:p>
    <w:p>
      <w:pPr>
        <w:spacing w:after="0" w:line="24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investors@bdtx.com</w:t>
      </w:r>
    </w:p>
    <w:p>
      <w:pPr>
        <w:spacing w:after="0" w:line="24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Visit Our Website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www.blackdiamondtherapeutics.com</w:t>
      </w:r>
    </w:p>
    <w:p>
      <w:pPr>
        <w:spacing w:after="0" w:line="24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Form 10-K</w:t>
      </w:r>
    </w:p>
    <w:p>
      <w:pPr>
        <w:spacing w:after="0" w:line="11"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Company’s Annual Report on Form 10-K for the year ended December 31, 2025, as filed with the SEC on March 16, 2026, except for exhibits, is printed as part of this 2025 Annual Report.</w:t>
      </w:r>
    </w:p>
    <w:p>
      <w:pPr>
        <w:spacing w:after="0" w:line="170" w:lineRule="exact"/>
        <w:rPr>
          <w:sz w:val="20"/>
          <w:szCs w:val="20"/>
          <w:color w:val="auto"/>
        </w:rPr>
      </w:pPr>
    </w:p>
    <w:p>
      <w:pPr>
        <w:ind w:right="280"/>
        <w:spacing w:after="0" w:line="252" w:lineRule="auto"/>
        <w:rPr>
          <w:sz w:val="20"/>
          <w:szCs w:val="20"/>
          <w:color w:val="auto"/>
        </w:rPr>
      </w:pPr>
      <w:r>
        <w:rPr>
          <w:rFonts w:ascii="Arial" w:cs="Arial" w:eastAsia="Arial" w:hAnsi="Arial"/>
          <w:sz w:val="19"/>
          <w:szCs w:val="19"/>
          <w:color w:val="auto"/>
        </w:rPr>
        <w:t>Additional copies are available without charge upon written request. Please address all requests to:</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Black Diamond Therapeutics, Inc.</w:t>
      </w:r>
    </w:p>
    <w:p>
      <w:pPr>
        <w:ind w:left="340"/>
        <w:spacing w:after="0"/>
        <w:rPr>
          <w:sz w:val="20"/>
          <w:szCs w:val="20"/>
          <w:color w:val="auto"/>
        </w:rPr>
      </w:pPr>
      <w:r>
        <w:rPr>
          <w:rFonts w:ascii="Arial" w:cs="Arial" w:eastAsia="Arial" w:hAnsi="Arial"/>
          <w:sz w:val="20"/>
          <w:szCs w:val="20"/>
          <w:color w:val="auto"/>
        </w:rPr>
        <w:t>Attention: Corporate Secretary</w:t>
      </w:r>
    </w:p>
    <w:p>
      <w:pPr>
        <w:ind w:left="340" w:right="960"/>
        <w:spacing w:after="0" w:line="285" w:lineRule="auto"/>
        <w:tabs>
          <w:tab w:leader="none" w:pos="6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First Street,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Cambridge, MA 02142</w:t>
      </w:r>
    </w:p>
    <w:p>
      <w:pPr>
        <w:sectPr>
          <w:pgSz w:w="11880" w:h="15480" w:orient="portrait"/>
          <w:cols w:equalWidth="0" w:num="2">
            <w:col w:w="6580" w:space="720"/>
            <w:col w:w="3420"/>
          </w:cols>
          <w:pgMar w:left="640" w:top="793" w:right="520" w:bottom="1440" w:gutter="0" w:footer="0" w:header="0"/>
          <w:type w:val="continuous"/>
        </w:sectPr>
      </w:pPr>
    </w:p>
    <w:bookmarkStart w:id="175" w:name="page176"/>
    <w:bookmarkEnd w:id="175"/>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lowerRoman"/>
      <w:start w:val="2"/>
    </w:lvl>
    <w:lvl w:ilvl="1">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amp;"/>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lvl w:ilvl="1">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lvl w:ilvl="1">
      <w:lvlJc w:val="left"/>
      <w:lvlText w:val="•"/>
      <w:numFmt w:val="bullet"/>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lowerRoman"/>
      <w:start w:val="2"/>
    </w:lvl>
  </w:abstractNum>
  <w:abstractNum w:abstractNumId="67">
    <w:nsid w:val="168E121F"/>
    <w:multiLevelType w:val="hybridMultilevel"/>
    <w:lvl w:ilvl="0">
      <w:lvlJc w:val="left"/>
      <w:lvlText w:val="(%1)"/>
      <w:numFmt w:val="lowerLetter"/>
      <w:start w:val="1"/>
    </w:lvl>
  </w:abstractNum>
  <w:abstractNum w:abstractNumId="68">
    <w:nsid w:val="1EBA5D23"/>
    <w:multiLevelType w:val="hybridMultilevel"/>
    <w:lvl w:ilvl="0">
      <w:lvlJc w:val="left"/>
      <w:lvlText w:val="%1."/>
      <w:numFmt w:val="decimal"/>
      <w:start w:val="2"/>
    </w:lvl>
  </w:abstractNum>
  <w:abstractNum w:abstractNumId="69">
    <w:nsid w:val="661E3F1E"/>
    <w:multiLevelType w:val="hybridMultilevel"/>
    <w:lvl w:ilvl="0">
      <w:lvlJc w:val="left"/>
      <w:lvlText w:val="%1."/>
      <w:numFmt w:val="decimal"/>
      <w:start w:val="3"/>
    </w:lvl>
  </w:abstractNum>
  <w:abstractNum w:abstractNumId="70">
    <w:nsid w:val="5DC79EA8"/>
    <w:multiLevelType w:val="hybridMultilevel"/>
    <w:lvl w:ilvl="0">
      <w:lvlJc w:val="left"/>
      <w:lvlText w:val="%1"/>
      <w:numFmt w:val="decimal"/>
      <w:start w:val="19"/>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1"/>
      <w:numFmt w:val="decimal"/>
      <w:start w:val="24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2026-04-29T16:30:46Z</dcterms:created>
  <dcterms:modified xsi:type="dcterms:W3CDTF">2026-04-29T16:30:46Z</dcterms:modified>
</cp:coreProperties>
</file>