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8810d1_s8.htm"/>
      <w:bookmarkStart w:id="1" w:name="kstm268810d1_s8"/>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March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spacing w:before="6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S-8</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REGISTRATION STATEMENT</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BLACK DIAMOND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3440"/>
        <w:gridCol w:w="1970"/>
      </w:tblGrid>
      <w:tr>
        <w:trPr/>
        <w:tc>
          <w:tcPr>
            <w:tcW w:w="344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19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81-4254660</w:t>
            </w:r>
          </w:p>
        </w:tc>
      </w:tr>
      <w:tr>
        <w:trPr/>
        <w:tc>
          <w:tcPr>
            <w:tcW w:w="344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19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Number)</w:t>
            </w:r>
          </w:p>
        </w:tc>
      </w:tr>
      <w:tr>
        <w:trPr/>
        <w:tc>
          <w:tcPr>
            <w:tcW w:w="3440" w:type="dxa"/>
            <w:tcBorders/>
            <w:vAlign w:val="center"/>
          </w:tcPr>
          <w:p>
            <w:pPr>
              <w:pStyle w:val="TableContents"/>
              <w:bidi w:val="0"/>
              <w:spacing w:before="0" w:after="283"/>
              <w:jc w:val="center"/>
              <w:rPr/>
            </w:pPr>
            <w:r>
              <w:rPr/>
              <w:t> </w:t>
            </w:r>
          </w:p>
        </w:tc>
        <w:tc>
          <w:tcPr>
            <w:tcW w:w="1970" w:type="dxa"/>
            <w:tcBorders/>
            <w:vAlign w:val="center"/>
          </w:tcPr>
          <w:p>
            <w:pPr>
              <w:pStyle w:val="TableContents"/>
              <w:bidi w:val="0"/>
              <w:spacing w:before="0" w:after="283"/>
              <w:jc w:val="center"/>
              <w:rPr/>
            </w:pPr>
            <w:r>
              <w:rPr/>
              <w:t> </w:t>
            </w:r>
          </w:p>
        </w:tc>
      </w:tr>
      <w:tr>
        <w:trPr/>
        <w:tc>
          <w:tcPr>
            <w:tcW w:w="344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245 First Street, 18th Floor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Cambridge, Massachusetts</w:t>
            </w:r>
          </w:p>
        </w:tc>
        <w:tc>
          <w:tcPr>
            <w:tcW w:w="19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02142</w:t>
            </w:r>
          </w:p>
        </w:tc>
      </w:tr>
      <w:tr>
        <w:trPr/>
        <w:tc>
          <w:tcPr>
            <w:tcW w:w="344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(Address of Principal Executive Offices) </w:t>
            </w:r>
          </w:p>
        </w:tc>
        <w:tc>
          <w:tcPr>
            <w:tcW w:w="19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Black Diamond Therapeutics, Inc. 2020 Stock Option and Incentive Plan (the “2020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Black Diamond Therapeutics, Inc. 2020 Employee Stock Purchase Plan, as amended (the “2020 ESPP”)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Title of the Plans)</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A. Velleca, M.D., Ph.D.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President and 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Black Diamond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245 First Street, 18th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Cambridge, Massachusetts 02142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(617) 252-0848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including zip code, and 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Robert E. Puopolo,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Marishka DeToy,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Goodwin Procter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 Northern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Boston, Massachusetts 02210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(617) 570-1000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1880"/>
        <w:gridCol w:w="290"/>
        <w:gridCol w:w="2270"/>
        <w:gridCol w:w="245"/>
      </w:tblGrid>
      <w:tr>
        <w:trPr/>
        <w:tc>
          <w:tcPr>
            <w:tcW w:w="1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Large accelerated filer </w:t>
            </w:r>
          </w:p>
        </w:tc>
        <w:tc>
          <w:tcPr>
            <w:tcW w:w="290" w:type="dxa"/>
            <w:tcBorders/>
            <w:vAlign w:val="center"/>
          </w:tcPr>
          <w:p>
            <w:pPr>
              <w:pStyle w:val="TableContents"/>
              <w:bidi w:val="0"/>
              <w:spacing w:before="0" w:after="283"/>
              <w:jc w:val="left"/>
              <w:rPr/>
            </w:pPr>
            <w:r>
              <w:rPr/>
              <w:t>☐</w:t>
            </w:r>
          </w:p>
        </w:tc>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left"/>
              <w:rPr/>
            </w:pPr>
            <w:r>
              <w:rPr/>
              <w:t>☐</w:t>
            </w:r>
          </w:p>
        </w:tc>
      </w:tr>
      <w:tr>
        <w:trPr/>
        <w:tc>
          <w:tcPr>
            <w:tcW w:w="1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9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Smaller reporting company </w:t>
            </w:r>
          </w:p>
        </w:tc>
        <w:tc>
          <w:tcPr>
            <w:tcW w:w="245" w:type="dxa"/>
            <w:tcBorders/>
            <w:vAlign w:val="center"/>
          </w:tcPr>
          <w:p>
            <w:pPr>
              <w:pStyle w:val="TableContents"/>
              <w:bidi w:val="0"/>
              <w:spacing w:before="0" w:after="283"/>
              <w:jc w:val="left"/>
              <w:rPr/>
            </w:pPr>
            <w:r>
              <w:rPr/>
              <w:t>☒</w:t>
            </w:r>
          </w:p>
        </w:tc>
      </w:tr>
      <w:tr>
        <w:trPr/>
        <w:tc>
          <w:tcPr>
            <w:tcW w:w="188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This Registration Statement on Form S-8 (this “Registration Statement”) is filed for the purposes of registering (i) an additional 2,285,522 shares of common stock, par value $0.0001 per share (the “common stock”), of Black Diamond Therapeutics, Inc. (the “Registrant”) that may be issued pursuant to the 2020 Plan and (ii) an additional 326,364 shares of common stock that may be issued pursuant to the 2020 ESPP. The number of shares of common stock reserved and available for issuance under the 2020 Plan is subject to an annual increase on each January 1 by an amount equal to the lesser of: (i) four percent (4%) of the number of shares of common stock issued and outstanding on the immediately preceding December 31, or (ii) such lesser number of shares of common stock as determined by the Administrator (as defined in the 2020 Plan). Accordingly, on January 1, 2026, the number of shares of common stock reserved and available for issuance under the 2020 Plan increased by 2,285,522. This Registration Statement registers these additional 2,285,522 shares of common stock. The additional shares are of the same class as other securities relating to the 2020 Plan for which the Registrant’s registration statements filed on Form S-8 (File No. 333-236170, File No. 333-254686, File No. 333-263648, File No. 333-270393, File No. 333-277834, and File No. 333-285596) filed with the Securities and Exchange Commission (the “SEC”) on </w:t>
      </w:r>
      <w:hyperlink r:id="rId2">
        <w:r>
          <w:rPr>
            <w:rStyle w:val="InternetLink"/>
            <w:rFonts w:ascii="Times New Roman;Times;Serif" w:hAnsi="Times New Roman;Times;Serif"/>
            <w:b w:val="false"/>
            <w:i w:val="false"/>
            <w:caps w:val="false"/>
            <w:smallCaps w:val="false"/>
            <w:sz w:val="20"/>
          </w:rPr>
          <w:t>January 30, 2020</w:t>
        </w:r>
      </w:hyperlink>
      <w:r>
        <w:rPr>
          <w:rFonts w:ascii="Times New Roman;Times;Serif" w:hAnsi="Times New Roman;Times;Serif"/>
          <w:b w:val="false"/>
          <w:i w:val="false"/>
          <w:caps w:val="false"/>
          <w:smallCaps w:val="false"/>
          <w:sz w:val="20"/>
        </w:rPr>
        <w:t xml:space="preserve">, </w:t>
      </w:r>
      <w:hyperlink r:id="rId3">
        <w:r>
          <w:rPr>
            <w:rStyle w:val="InternetLink"/>
            <w:rFonts w:ascii="Times New Roman;Times;Serif" w:hAnsi="Times New Roman;Times;Serif"/>
            <w:b w:val="false"/>
            <w:i w:val="false"/>
            <w:caps w:val="false"/>
            <w:smallCaps w:val="false"/>
            <w:sz w:val="20"/>
          </w:rPr>
          <w:t>March 25, 2021</w:t>
        </w:r>
      </w:hyperlink>
      <w:r>
        <w:rPr>
          <w:rFonts w:ascii="Times New Roman;Times;Serif" w:hAnsi="Times New Roman;Times;Serif"/>
          <w:b w:val="false"/>
          <w:i w:val="false"/>
          <w:caps w:val="false"/>
          <w:smallCaps w:val="false"/>
          <w:sz w:val="20"/>
        </w:rPr>
        <w:t xml:space="preserve">, </w:t>
      </w:r>
      <w:hyperlink r:id="rId4">
        <w:r>
          <w:rPr>
            <w:rStyle w:val="InternetLink"/>
            <w:rFonts w:ascii="Times New Roman;Times;Serif" w:hAnsi="Times New Roman;Times;Serif"/>
            <w:b w:val="false"/>
            <w:i w:val="false"/>
            <w:caps w:val="false"/>
            <w:smallCaps w:val="false"/>
            <w:sz w:val="20"/>
          </w:rPr>
          <w:t>March 17, 2022</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March 9, 2023</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sz w:val="20"/>
          </w:rPr>
          <w:t>March 12, 2024</w:t>
        </w:r>
      </w:hyperlink>
      <w:r>
        <w:rPr>
          <w:rFonts w:ascii="Times New Roman;Times;Serif" w:hAnsi="Times New Roman;Times;Serif"/>
          <w:b w:val="false"/>
          <w:i w:val="false"/>
          <w:caps w:val="false"/>
          <w:smallCaps w:val="false"/>
          <w:sz w:val="20"/>
        </w:rPr>
        <w:t xml:space="preserve">, and </w:t>
      </w:r>
      <w:hyperlink r:id="rId7">
        <w:r>
          <w:rPr>
            <w:rStyle w:val="InternetLink"/>
            <w:rFonts w:ascii="Times New Roman;Times;Serif" w:hAnsi="Times New Roman;Times;Serif"/>
            <w:b w:val="false"/>
            <w:i w:val="false"/>
            <w:caps w:val="false"/>
            <w:smallCaps w:val="false"/>
            <w:sz w:val="20"/>
          </w:rPr>
          <w:t>March 6, 2025</w:t>
        </w:r>
      </w:hyperlink>
      <w:r>
        <w:rPr>
          <w:rFonts w:ascii="Times New Roman;Times;Serif" w:hAnsi="Times New Roman;Times;Serif"/>
          <w:b w:val="false"/>
          <w:i w:val="false"/>
          <w:caps w:val="false"/>
          <w:smallCaps w:val="false"/>
          <w:sz w:val="20"/>
        </w:rPr>
        <w:t xml:space="preserve">, respectively, are effective. The number of shares of common stock reserved and available for issuance under the 2020 ESPP is subject to an annual increase on each January 1 by an amount equal to the least of (i) 326,364 shares of common stock, (ii) one percent (1%) of the number of shares of common stock issued and outstanding on the immediately preceding December 31, or (iii) such lesser number of shares of common stock as determined by the Administrator (as defined in the 2020 ESPP). Accordingly, on January 1, 2026, the number of shares of common stock reserved and available for issuance under the 2020 ESPP increased by 326,364. This Registration Statement registers these additional 326,364 shares of common stock. The additional shares are of the same class as other securities relating to the 2020 ESPP for which the Registrant’s registration statements filed on Form S-8 (File No. 333-236170, File No. 333-254686, File No. 333-263648, File No. 333-270393, File No. 333-277834, and File No. 333-285596) filed with the SEC on </w:t>
      </w:r>
      <w:hyperlink r:id="rId8">
        <w:r>
          <w:rPr>
            <w:rStyle w:val="InternetLink"/>
            <w:rFonts w:ascii="Times New Roman;Times;Serif" w:hAnsi="Times New Roman;Times;Serif"/>
            <w:b w:val="false"/>
            <w:i w:val="false"/>
            <w:caps w:val="false"/>
            <w:smallCaps w:val="false"/>
            <w:sz w:val="20"/>
          </w:rPr>
          <w:t>January 30, 2020</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March 25, 2021</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March 17, 2022</w:t>
        </w:r>
      </w:hyperlink>
      <w:r>
        <w:rPr>
          <w:rFonts w:ascii="Times New Roman;Times;Serif" w:hAnsi="Times New Roman;Times;Serif"/>
          <w:b w:val="false"/>
          <w:i w:val="false"/>
          <w:caps w:val="false"/>
          <w:smallCaps w:val="false"/>
          <w:sz w:val="20"/>
        </w:rPr>
        <w:t xml:space="preserve">, </w:t>
      </w:r>
      <w:hyperlink r:id="rId11">
        <w:r>
          <w:rPr>
            <w:rStyle w:val="InternetLink"/>
            <w:rFonts w:ascii="Times New Roman;Times;Serif" w:hAnsi="Times New Roman;Times;Serif"/>
            <w:b w:val="false"/>
            <w:i w:val="false"/>
            <w:caps w:val="false"/>
            <w:smallCaps w:val="false"/>
            <w:sz w:val="20"/>
          </w:rPr>
          <w:t>March 9, 2023</w:t>
        </w:r>
      </w:hyperlink>
      <w:r>
        <w:rPr>
          <w:rFonts w:ascii="Times New Roman;Times;Serif" w:hAnsi="Times New Roman;Times;Serif"/>
          <w:b w:val="false"/>
          <w:i w:val="false"/>
          <w:caps w:val="false"/>
          <w:smallCaps w:val="false"/>
          <w:sz w:val="20"/>
        </w:rPr>
        <w:t xml:space="preserve">, </w:t>
      </w:r>
      <w:hyperlink r:id="rId12">
        <w:r>
          <w:rPr>
            <w:rStyle w:val="InternetLink"/>
            <w:rFonts w:ascii="Times New Roman;Times;Serif" w:hAnsi="Times New Roman;Times;Serif"/>
            <w:b w:val="false"/>
            <w:i w:val="false"/>
            <w:caps w:val="false"/>
            <w:smallCaps w:val="false"/>
            <w:sz w:val="20"/>
          </w:rPr>
          <w:t>March 12, 2024</w:t>
        </w:r>
      </w:hyperlink>
      <w:r>
        <w:rPr>
          <w:rFonts w:ascii="Times New Roman;Times;Serif" w:hAnsi="Times New Roman;Times;Serif"/>
          <w:b w:val="false"/>
          <w:i w:val="false"/>
          <w:caps w:val="false"/>
          <w:smallCaps w:val="false"/>
          <w:sz w:val="20"/>
        </w:rPr>
        <w:t xml:space="preserve">, and </w:t>
      </w:r>
      <w:hyperlink r:id="rId13">
        <w:r>
          <w:rPr>
            <w:rStyle w:val="InternetLink"/>
            <w:rFonts w:ascii="Times New Roman;Times;Serif" w:hAnsi="Times New Roman;Times;Serif"/>
            <w:b w:val="false"/>
            <w:i w:val="false"/>
            <w:caps w:val="false"/>
            <w:smallCaps w:val="false"/>
            <w:sz w:val="20"/>
          </w:rPr>
          <w:t>March 6, 2025</w:t>
        </w:r>
      </w:hyperlink>
      <w:r>
        <w:rPr>
          <w:rFonts w:ascii="Times New Roman;Times;Serif" w:hAnsi="Times New Roman;Times;Serif"/>
          <w:b w:val="false"/>
          <w:i w:val="false"/>
          <w:caps w:val="false"/>
          <w:smallCaps w:val="false"/>
          <w:sz w:val="20"/>
        </w:rPr>
        <w:t>, respectively, are effective. The information contained in the Registrant’s registration statements on Form S-8 (File No. 333-236170, File No. 333-254686, File No. 333-263648, File No. 333-270393, File No. 333-277834, and File No. 333-285596) is hereby incorporated by reference pursuant to General Instruction E, except for “Item 8.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ind w:left="0" w:right="0" w:hanging="0"/>
        <w:jc w:val="left"/>
        <w:rPr>
          <w:caps w:val="false"/>
          <w:smallCaps w:val="false"/>
        </w:rPr>
      </w:pPr>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620"/>
        <w:gridCol w:w="830"/>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8.</w:t>
            </w:r>
          </w:p>
        </w:tc>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Exhibits.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Exhibit Index for a list of exhibits filed as part of this Registration Statement, which Exhibit Index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5"/>
        <w:gridCol w:w="60"/>
        <w:gridCol w:w="9150"/>
      </w:tblGrid>
      <w:tr>
        <w:trPr/>
        <w:tc>
          <w:tcPr>
            <w:tcW w:w="995"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both"/>
              <w:rPr/>
            </w:pPr>
            <w:r>
              <w:rPr/>
              <w:t> </w:t>
            </w:r>
          </w:p>
        </w:tc>
        <w:tc>
          <w:tcPr>
            <w:tcW w:w="91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both"/>
              <w:rPr/>
            </w:pPr>
            <w:r>
              <w:rPr/>
              <w:t> </w:t>
            </w:r>
          </w:p>
        </w:tc>
        <w:tc>
          <w:tcPr>
            <w:tcW w:w="9210" w:type="dxa"/>
            <w:gridSpan w:val="2"/>
            <w:tcBorders/>
            <w:tcMar>
              <w:bottom w:w="0" w:type="dxa"/>
            </w:tcMar>
            <w:vAlign w:val="center"/>
          </w:tcPr>
          <w:p>
            <w:pPr>
              <w:pStyle w:val="TableContents"/>
              <w:bidi w:val="0"/>
              <w:spacing w:before="0" w:after="283"/>
              <w:jc w:val="both"/>
              <w:rPr/>
            </w:pPr>
            <w:r>
              <w:rPr/>
              <w:t> </w:t>
            </w:r>
          </w:p>
        </w:tc>
      </w:tr>
      <w:tr>
        <w:trPr/>
        <w:tc>
          <w:tcPr>
            <w:tcW w:w="995" w:type="dxa"/>
            <w:tcBorders/>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sz w:val="20"/>
                </w:rPr>
                <w:t>4.1</w:t>
              </w:r>
            </w:hyperlink>
          </w:p>
        </w:tc>
        <w:tc>
          <w:tcPr>
            <w:tcW w:w="60" w:type="dxa"/>
            <w:tcBorders/>
            <w:tcMar>
              <w:bottom w:w="0" w:type="dxa"/>
            </w:tcMar>
            <w:vAlign w:val="center"/>
          </w:tcPr>
          <w:p>
            <w:pPr>
              <w:pStyle w:val="TableContents"/>
              <w:bidi w:val="0"/>
              <w:spacing w:before="0" w:after="283"/>
              <w:jc w:val="both"/>
              <w:rPr/>
            </w:pPr>
            <w:r>
              <w:rPr/>
              <w:t> </w:t>
            </w:r>
          </w:p>
        </w:tc>
        <w:tc>
          <w:tcPr>
            <w:tcW w:w="9150" w:type="dxa"/>
            <w:tcBorders/>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sz w:val="20"/>
                </w:rPr>
                <w:t>Fourth Amended and Restated Certificate of Incorporation of the Registrant, as currently in effect (incorporated by reference to Exhibit 3.1 of the Registrant’s Current Report on Form 8-K (File No. 001-39200) filed on February 3, 2020)</w:t>
              </w:r>
            </w:hyperlink>
          </w:p>
        </w:tc>
      </w:tr>
      <w:tr>
        <w:trPr/>
        <w:tc>
          <w:tcPr>
            <w:tcW w:w="99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9150" w:type="dxa"/>
            <w:tcBorders/>
            <w:tcMar>
              <w:bottom w:w="0" w:type="dxa"/>
            </w:tcMar>
            <w:vAlign w:val="center"/>
          </w:tcPr>
          <w:p>
            <w:pPr>
              <w:pStyle w:val="TableContents"/>
              <w:bidi w:val="0"/>
              <w:spacing w:before="0" w:after="283"/>
              <w:jc w:val="both"/>
              <w:rPr/>
            </w:pPr>
            <w:r>
              <w:rPr/>
              <w:t> </w:t>
            </w:r>
          </w:p>
        </w:tc>
      </w:tr>
      <w:tr>
        <w:trPr/>
        <w:tc>
          <w:tcPr>
            <w:tcW w:w="995" w:type="dxa"/>
            <w:tcBorders/>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sz w:val="20"/>
                </w:rPr>
                <w:t>4.2</w:t>
              </w:r>
            </w:hyperlink>
          </w:p>
        </w:tc>
        <w:tc>
          <w:tcPr>
            <w:tcW w:w="60" w:type="dxa"/>
            <w:tcBorders/>
            <w:tcMar>
              <w:bottom w:w="0" w:type="dxa"/>
            </w:tcMar>
            <w:vAlign w:val="center"/>
          </w:tcPr>
          <w:p>
            <w:pPr>
              <w:pStyle w:val="TableContents"/>
              <w:bidi w:val="0"/>
              <w:spacing w:before="0" w:after="283"/>
              <w:jc w:val="both"/>
              <w:rPr/>
            </w:pPr>
            <w:r>
              <w:rPr/>
              <w:t> </w:t>
            </w:r>
          </w:p>
        </w:tc>
        <w:tc>
          <w:tcPr>
            <w:tcW w:w="9150" w:type="dxa"/>
            <w:tcBorders/>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sz w:val="20"/>
                </w:rPr>
                <w:t>Certificate of Amendment to the Fourth Amended and Restated Certificate of Incorporation of the Registrant (incorporated by reference to Exhibit 3.1 of the Registrant’s Current Report on Form 8-K (File No. 001-39200) filed on June 6, 2024)</w:t>
              </w:r>
            </w:hyperlink>
          </w:p>
        </w:tc>
      </w:tr>
      <w:tr>
        <w:trPr/>
        <w:tc>
          <w:tcPr>
            <w:tcW w:w="99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9150" w:type="dxa"/>
            <w:tcBorders/>
            <w:tcMar>
              <w:bottom w:w="0" w:type="dxa"/>
            </w:tcMar>
            <w:vAlign w:val="center"/>
          </w:tcPr>
          <w:p>
            <w:pPr>
              <w:pStyle w:val="TableContents"/>
              <w:bidi w:val="0"/>
              <w:spacing w:before="0" w:after="283"/>
              <w:jc w:val="both"/>
              <w:rPr/>
            </w:pPr>
            <w:r>
              <w:rPr/>
              <w:t> </w:t>
            </w:r>
          </w:p>
        </w:tc>
      </w:tr>
      <w:tr>
        <w:trPr/>
        <w:tc>
          <w:tcPr>
            <w:tcW w:w="995" w:type="dxa"/>
            <w:tcBorders/>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sz w:val="20"/>
                </w:rPr>
                <w:t>4.2</w:t>
              </w:r>
            </w:hyperlink>
          </w:p>
        </w:tc>
        <w:tc>
          <w:tcPr>
            <w:tcW w:w="60" w:type="dxa"/>
            <w:tcBorders/>
            <w:tcMar>
              <w:bottom w:w="0" w:type="dxa"/>
            </w:tcMar>
            <w:vAlign w:val="center"/>
          </w:tcPr>
          <w:p>
            <w:pPr>
              <w:pStyle w:val="TableContents"/>
              <w:bidi w:val="0"/>
              <w:spacing w:before="0" w:after="283"/>
              <w:jc w:val="both"/>
              <w:rPr/>
            </w:pPr>
            <w:r>
              <w:rPr/>
              <w:t> </w:t>
            </w:r>
          </w:p>
        </w:tc>
        <w:tc>
          <w:tcPr>
            <w:tcW w:w="9150" w:type="dxa"/>
            <w:tcBorders/>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sz w:val="20"/>
                </w:rPr>
                <w:t>Second Amended and Restated By-laws of the Registrant, as currently in effect (incorporated by reference to Exhibit 3.2 of the Registrant’s Annual Report on Form 10-K (File No. 001-39200) filed on March 12, 2024)</w:t>
              </w:r>
            </w:hyperlink>
          </w:p>
        </w:tc>
      </w:tr>
      <w:tr>
        <w:trPr/>
        <w:tc>
          <w:tcPr>
            <w:tcW w:w="99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9150" w:type="dxa"/>
            <w:tcBorders/>
            <w:tcMar>
              <w:bottom w:w="0" w:type="dxa"/>
            </w:tcMar>
            <w:vAlign w:val="center"/>
          </w:tcPr>
          <w:p>
            <w:pPr>
              <w:pStyle w:val="TableContents"/>
              <w:bidi w:val="0"/>
              <w:spacing w:before="0" w:after="283"/>
              <w:jc w:val="both"/>
              <w:rPr/>
            </w:pPr>
            <w:r>
              <w:rPr/>
              <w:t> </w:t>
            </w:r>
          </w:p>
        </w:tc>
      </w:tr>
      <w:tr>
        <w:trPr/>
        <w:tc>
          <w:tcPr>
            <w:tcW w:w="995" w:type="dxa"/>
            <w:tcBorders/>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sz w:val="20"/>
                </w:rPr>
                <w:t>4.3</w:t>
              </w:r>
            </w:hyperlink>
          </w:p>
        </w:tc>
        <w:tc>
          <w:tcPr>
            <w:tcW w:w="60" w:type="dxa"/>
            <w:tcBorders/>
            <w:tcMar>
              <w:bottom w:w="0" w:type="dxa"/>
            </w:tcMar>
            <w:vAlign w:val="center"/>
          </w:tcPr>
          <w:p>
            <w:pPr>
              <w:pStyle w:val="TableContents"/>
              <w:bidi w:val="0"/>
              <w:spacing w:before="0" w:after="283"/>
              <w:jc w:val="both"/>
              <w:rPr/>
            </w:pPr>
            <w:r>
              <w:rPr/>
              <w:t> </w:t>
            </w:r>
          </w:p>
        </w:tc>
        <w:tc>
          <w:tcPr>
            <w:tcW w:w="9150" w:type="dxa"/>
            <w:tcBorders/>
            <w:tcMar>
              <w:bottom w:w="0" w:type="dxa"/>
            </w:tcMar>
            <w:vAlign w:val="center"/>
          </w:tcPr>
          <w:p>
            <w:pPr>
              <w:pStyle w:val="TableContents"/>
              <w:bidi w:val="0"/>
              <w:spacing w:before="0" w:after="283"/>
              <w:jc w:val="both"/>
              <w:rPr/>
            </w:pPr>
            <w:hyperlink r:id="rId21">
              <w:r>
                <w:rPr>
                  <w:rStyle w:val="InternetLink"/>
                  <w:rFonts w:ascii="Times New Roman;Times;Serif" w:hAnsi="Times New Roman;Times;Serif"/>
                  <w:sz w:val="20"/>
                </w:rPr>
                <w:t>Second Amended and Restated Investors’ Rights Agreement among the Registrant and certain of its stockholders, dated November 25, 2019 (incorporated by reference to Exhibit 4.1 of the Registrant’s Registration Statement on Form S-1 (File No. 333-235789) filed on January 3, 2020)</w:t>
              </w:r>
            </w:hyperlink>
          </w:p>
        </w:tc>
      </w:tr>
      <w:tr>
        <w:trPr/>
        <w:tc>
          <w:tcPr>
            <w:tcW w:w="99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9150" w:type="dxa"/>
            <w:tcBorders/>
            <w:tcMar>
              <w:bottom w:w="0" w:type="dxa"/>
            </w:tcMar>
            <w:vAlign w:val="center"/>
          </w:tcPr>
          <w:p>
            <w:pPr>
              <w:pStyle w:val="TableContents"/>
              <w:bidi w:val="0"/>
              <w:spacing w:before="0" w:after="283"/>
              <w:jc w:val="both"/>
              <w:rPr/>
            </w:pPr>
            <w:r>
              <w:rPr/>
              <w:t> </w:t>
            </w:r>
          </w:p>
        </w:tc>
      </w:tr>
      <w:tr>
        <w:trPr/>
        <w:tc>
          <w:tcPr>
            <w:tcW w:w="995" w:type="dxa"/>
            <w:tcBorders/>
            <w:tcMar>
              <w:bottom w:w="0" w:type="dxa"/>
            </w:tcMar>
            <w:vAlign w:val="center"/>
          </w:tcPr>
          <w:p>
            <w:pPr>
              <w:pStyle w:val="TableContents"/>
              <w:bidi w:val="0"/>
              <w:spacing w:before="0" w:after="283"/>
              <w:jc w:val="both"/>
              <w:rPr/>
            </w:pPr>
            <w:hyperlink r:id="rId22">
              <w:r>
                <w:rPr>
                  <w:rStyle w:val="InternetLink"/>
                  <w:rFonts w:ascii="Times New Roman;Times;Serif" w:hAnsi="Times New Roman;Times;Serif"/>
                  <w:sz w:val="20"/>
                </w:rPr>
                <w:t>4.4</w:t>
              </w:r>
            </w:hyperlink>
          </w:p>
        </w:tc>
        <w:tc>
          <w:tcPr>
            <w:tcW w:w="60" w:type="dxa"/>
            <w:tcBorders/>
            <w:tcMar>
              <w:bottom w:w="0" w:type="dxa"/>
            </w:tcMar>
            <w:vAlign w:val="center"/>
          </w:tcPr>
          <w:p>
            <w:pPr>
              <w:pStyle w:val="TableContents"/>
              <w:bidi w:val="0"/>
              <w:spacing w:before="0" w:after="283"/>
              <w:jc w:val="both"/>
              <w:rPr/>
            </w:pPr>
            <w:r>
              <w:rPr/>
              <w:t> </w:t>
            </w:r>
          </w:p>
        </w:tc>
        <w:tc>
          <w:tcPr>
            <w:tcW w:w="9150" w:type="dxa"/>
            <w:tcBorders/>
            <w:tcMar>
              <w:bottom w:w="0" w:type="dxa"/>
            </w:tcMar>
            <w:vAlign w:val="center"/>
          </w:tcPr>
          <w:p>
            <w:pPr>
              <w:pStyle w:val="TableContents"/>
              <w:bidi w:val="0"/>
              <w:spacing w:before="0" w:after="283"/>
              <w:jc w:val="both"/>
              <w:rPr/>
            </w:pPr>
            <w:hyperlink r:id="rId23">
              <w:r>
                <w:rPr>
                  <w:rStyle w:val="InternetLink"/>
                  <w:rFonts w:ascii="Times New Roman;Times;Serif" w:hAnsi="Times New Roman;Times;Serif"/>
                  <w:sz w:val="20"/>
                </w:rPr>
                <w:t>Warrant to Purchase Stock, dated September 21, 2016, issued by the Registrant to Roche Finance Ltd (incorporated by reference to Exhibit 4.3 of the Registrant’s Registration Statement on Form S-1 (File No. 333-235789) filed on January 3, 2020)</w:t>
              </w:r>
            </w:hyperlink>
          </w:p>
        </w:tc>
      </w:tr>
      <w:tr>
        <w:trPr/>
        <w:tc>
          <w:tcPr>
            <w:tcW w:w="99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9150" w:type="dxa"/>
            <w:tcBorders/>
            <w:tcMar>
              <w:bottom w:w="0" w:type="dxa"/>
            </w:tcMar>
            <w:vAlign w:val="center"/>
          </w:tcPr>
          <w:p>
            <w:pPr>
              <w:pStyle w:val="TableContents"/>
              <w:bidi w:val="0"/>
              <w:spacing w:before="0" w:after="283"/>
              <w:jc w:val="both"/>
              <w:rPr/>
            </w:pPr>
            <w:r>
              <w:rPr/>
              <w:t> </w:t>
            </w:r>
          </w:p>
        </w:tc>
      </w:tr>
      <w:tr>
        <w:trPr/>
        <w:tc>
          <w:tcPr>
            <w:tcW w:w="995" w:type="dxa"/>
            <w:tcBorders/>
            <w:tcMar>
              <w:bottom w:w="0" w:type="dxa"/>
            </w:tcMar>
            <w:vAlign w:val="center"/>
          </w:tcPr>
          <w:p>
            <w:pPr>
              <w:pStyle w:val="TableContents"/>
              <w:bidi w:val="0"/>
              <w:spacing w:before="0" w:after="283"/>
              <w:jc w:val="both"/>
              <w:rPr/>
            </w:pPr>
            <w:hyperlink r:id="rId24">
              <w:r>
                <w:rPr>
                  <w:rStyle w:val="InternetLink"/>
                  <w:rFonts w:ascii="Times New Roman;Times;Serif" w:hAnsi="Times New Roman;Times;Serif"/>
                  <w:sz w:val="20"/>
                </w:rPr>
                <w:t>4.5</w:t>
              </w:r>
            </w:hyperlink>
          </w:p>
        </w:tc>
        <w:tc>
          <w:tcPr>
            <w:tcW w:w="60" w:type="dxa"/>
            <w:tcBorders/>
            <w:tcMar>
              <w:bottom w:w="0" w:type="dxa"/>
            </w:tcMar>
            <w:vAlign w:val="center"/>
          </w:tcPr>
          <w:p>
            <w:pPr>
              <w:pStyle w:val="TableContents"/>
              <w:bidi w:val="0"/>
              <w:spacing w:before="0" w:after="283"/>
              <w:jc w:val="both"/>
              <w:rPr/>
            </w:pPr>
            <w:r>
              <w:rPr/>
              <w:t> </w:t>
            </w:r>
          </w:p>
        </w:tc>
        <w:tc>
          <w:tcPr>
            <w:tcW w:w="9150" w:type="dxa"/>
            <w:tcBorders/>
            <w:tcMar>
              <w:bottom w:w="0" w:type="dxa"/>
            </w:tcMar>
            <w:vAlign w:val="center"/>
          </w:tcPr>
          <w:p>
            <w:pPr>
              <w:pStyle w:val="TableContents"/>
              <w:bidi w:val="0"/>
              <w:spacing w:before="0" w:after="283"/>
              <w:jc w:val="both"/>
              <w:rPr/>
            </w:pPr>
            <w:hyperlink r:id="rId25">
              <w:r>
                <w:rPr>
                  <w:rStyle w:val="InternetLink"/>
                  <w:rFonts w:ascii="Times New Roman;Times;Serif" w:hAnsi="Times New Roman;Times;Serif"/>
                  <w:sz w:val="20"/>
                </w:rPr>
                <w:t>2020 Stock Option and Incentive Plan and forms of award agreements thereunder (incorporated by reference to Exhibit 10.2 of the Registrant’s Registration Statement on Form S-1/A (File No. 333-235789) filed on January 21, 2020)</w:t>
              </w:r>
            </w:hyperlink>
          </w:p>
        </w:tc>
      </w:tr>
      <w:tr>
        <w:trPr/>
        <w:tc>
          <w:tcPr>
            <w:tcW w:w="99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9150" w:type="dxa"/>
            <w:tcBorders/>
            <w:tcMar>
              <w:bottom w:w="0" w:type="dxa"/>
            </w:tcMar>
            <w:vAlign w:val="center"/>
          </w:tcPr>
          <w:p>
            <w:pPr>
              <w:pStyle w:val="TableContents"/>
              <w:bidi w:val="0"/>
              <w:spacing w:before="0" w:after="283"/>
              <w:jc w:val="both"/>
              <w:rPr/>
            </w:pPr>
            <w:r>
              <w:rPr/>
              <w:t> </w:t>
            </w:r>
          </w:p>
        </w:tc>
      </w:tr>
      <w:tr>
        <w:trPr/>
        <w:tc>
          <w:tcPr>
            <w:tcW w:w="995" w:type="dxa"/>
            <w:tcBorders/>
            <w:tcMar>
              <w:bottom w:w="0" w:type="dxa"/>
            </w:tcMar>
            <w:vAlign w:val="center"/>
          </w:tcPr>
          <w:p>
            <w:pPr>
              <w:pStyle w:val="TableContents"/>
              <w:bidi w:val="0"/>
              <w:spacing w:before="0" w:after="283"/>
              <w:jc w:val="both"/>
              <w:rPr/>
            </w:pPr>
            <w:hyperlink r:id="rId26">
              <w:r>
                <w:rPr>
                  <w:rStyle w:val="InternetLink"/>
                  <w:rFonts w:ascii="Times New Roman;Times;Serif" w:hAnsi="Times New Roman;Times;Serif"/>
                  <w:sz w:val="20"/>
                </w:rPr>
                <w:t>4.6</w:t>
              </w:r>
            </w:hyperlink>
          </w:p>
        </w:tc>
        <w:tc>
          <w:tcPr>
            <w:tcW w:w="60" w:type="dxa"/>
            <w:tcBorders/>
            <w:tcMar>
              <w:bottom w:w="0" w:type="dxa"/>
            </w:tcMar>
            <w:vAlign w:val="center"/>
          </w:tcPr>
          <w:p>
            <w:pPr>
              <w:pStyle w:val="TableContents"/>
              <w:bidi w:val="0"/>
              <w:spacing w:before="0" w:after="283"/>
              <w:jc w:val="both"/>
              <w:rPr/>
            </w:pPr>
            <w:r>
              <w:rPr/>
              <w:t> </w:t>
            </w:r>
          </w:p>
        </w:tc>
        <w:tc>
          <w:tcPr>
            <w:tcW w:w="9150" w:type="dxa"/>
            <w:tcBorders/>
            <w:tcMar>
              <w:bottom w:w="0" w:type="dxa"/>
            </w:tcMar>
            <w:vAlign w:val="center"/>
          </w:tcPr>
          <w:p>
            <w:pPr>
              <w:pStyle w:val="TableContents"/>
              <w:bidi w:val="0"/>
              <w:spacing w:before="0" w:after="283"/>
              <w:jc w:val="both"/>
              <w:rPr/>
            </w:pPr>
            <w:hyperlink r:id="rId27">
              <w:r>
                <w:rPr>
                  <w:rStyle w:val="InternetLink"/>
                  <w:rFonts w:ascii="Times New Roman;Times;Serif" w:hAnsi="Times New Roman;Times;Serif"/>
                  <w:sz w:val="20"/>
                </w:rPr>
                <w:t>2020 Employee Stock Purchase Plan, as amended (incorporated by reference to Exhibit 10.4 of the Registrant’s Annual Report on Form 10-K (File No. 001-39200) filed on March 12, 2024)</w:t>
              </w:r>
            </w:hyperlink>
          </w:p>
        </w:tc>
      </w:tr>
      <w:tr>
        <w:trPr/>
        <w:tc>
          <w:tcPr>
            <w:tcW w:w="99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9150" w:type="dxa"/>
            <w:tcBorders/>
            <w:tcMar>
              <w:bottom w:w="0" w:type="dxa"/>
            </w:tcMar>
            <w:vAlign w:val="center"/>
          </w:tcPr>
          <w:p>
            <w:pPr>
              <w:pStyle w:val="TableContents"/>
              <w:bidi w:val="0"/>
              <w:spacing w:before="0" w:after="283"/>
              <w:jc w:val="both"/>
              <w:rPr/>
            </w:pPr>
            <w:r>
              <w:rPr/>
              <w:t> </w:t>
            </w:r>
          </w:p>
        </w:tc>
      </w:tr>
      <w:tr>
        <w:trPr/>
        <w:tc>
          <w:tcPr>
            <w:tcW w:w="995" w:type="dxa"/>
            <w:tcBorders/>
            <w:tcMar>
              <w:bottom w:w="0" w:type="dxa"/>
            </w:tcMar>
            <w:vAlign w:val="center"/>
          </w:tcPr>
          <w:p>
            <w:pPr>
              <w:pStyle w:val="TableContents"/>
              <w:bidi w:val="0"/>
              <w:spacing w:before="0" w:after="283"/>
              <w:jc w:val="both"/>
              <w:rPr/>
            </w:pPr>
            <w:hyperlink w:anchor="tm268810d1_ex5-1.htm">
              <w:r>
                <w:rPr>
                  <w:rStyle w:val="InternetLink"/>
                  <w:rFonts w:ascii="Times New Roman;Times;Serif" w:hAnsi="Times New Roman;Times;Serif"/>
                  <w:sz w:val="20"/>
                </w:rPr>
                <w:t>5.1*</w:t>
              </w:r>
            </w:hyperlink>
          </w:p>
        </w:tc>
        <w:tc>
          <w:tcPr>
            <w:tcW w:w="60" w:type="dxa"/>
            <w:tcBorders/>
            <w:tcMar>
              <w:bottom w:w="0" w:type="dxa"/>
            </w:tcMar>
            <w:vAlign w:val="center"/>
          </w:tcPr>
          <w:p>
            <w:pPr>
              <w:pStyle w:val="TableContents"/>
              <w:bidi w:val="0"/>
              <w:spacing w:before="0" w:after="283"/>
              <w:jc w:val="both"/>
              <w:rPr/>
            </w:pPr>
            <w:r>
              <w:rPr/>
              <w:t> </w:t>
            </w:r>
          </w:p>
        </w:tc>
        <w:tc>
          <w:tcPr>
            <w:tcW w:w="9150" w:type="dxa"/>
            <w:tcBorders/>
            <w:tcMar>
              <w:bottom w:w="0" w:type="dxa"/>
            </w:tcMar>
            <w:vAlign w:val="center"/>
          </w:tcPr>
          <w:p>
            <w:pPr>
              <w:pStyle w:val="TableContents"/>
              <w:bidi w:val="0"/>
              <w:spacing w:before="0" w:after="283"/>
              <w:jc w:val="both"/>
              <w:rPr/>
            </w:pPr>
            <w:hyperlink w:anchor="tm268810d1_ex5-1.htm">
              <w:r>
                <w:rPr>
                  <w:rStyle w:val="InternetLink"/>
                  <w:rFonts w:ascii="Times New Roman;Times;Serif" w:hAnsi="Times New Roman;Times;Serif"/>
                  <w:sz w:val="20"/>
                </w:rPr>
                <w:t>Opinion of Goodwin Procter LLP.</w:t>
              </w:r>
            </w:hyperlink>
          </w:p>
        </w:tc>
      </w:tr>
      <w:tr>
        <w:trPr/>
        <w:tc>
          <w:tcPr>
            <w:tcW w:w="995" w:type="dxa"/>
            <w:tcBorders/>
            <w:tcMar>
              <w:bottom w:w="0" w:type="dxa"/>
            </w:tcMar>
            <w:vAlign w:val="center"/>
          </w:tcPr>
          <w:p>
            <w:pPr>
              <w:pStyle w:val="TableContents"/>
              <w:bidi w:val="0"/>
              <w:spacing w:before="0" w:after="283"/>
              <w:jc w:val="both"/>
              <w:rPr/>
            </w:pPr>
            <w:r>
              <w:rPr/>
              <w:t> </w:t>
            </w:r>
          </w:p>
        </w:tc>
        <w:tc>
          <w:tcPr>
            <w:tcW w:w="9210" w:type="dxa"/>
            <w:gridSpan w:val="2"/>
            <w:tcBorders/>
            <w:tcMar>
              <w:bottom w:w="0" w:type="dxa"/>
            </w:tcMar>
            <w:vAlign w:val="center"/>
          </w:tcPr>
          <w:p>
            <w:pPr>
              <w:pStyle w:val="TableContents"/>
              <w:bidi w:val="0"/>
              <w:spacing w:before="0" w:after="283"/>
              <w:jc w:val="both"/>
              <w:rPr/>
            </w:pPr>
            <w:r>
              <w:rPr/>
              <w:t> </w:t>
            </w:r>
          </w:p>
        </w:tc>
      </w:tr>
      <w:tr>
        <w:trPr/>
        <w:tc>
          <w:tcPr>
            <w:tcW w:w="995" w:type="dxa"/>
            <w:tcBorders/>
            <w:tcMar>
              <w:bottom w:w="0" w:type="dxa"/>
            </w:tcMar>
            <w:vAlign w:val="center"/>
          </w:tcPr>
          <w:p>
            <w:pPr>
              <w:pStyle w:val="TableContents"/>
              <w:bidi w:val="0"/>
              <w:spacing w:before="0" w:after="283"/>
              <w:jc w:val="both"/>
              <w:rPr/>
            </w:pPr>
            <w:hyperlink w:anchor="tm268810d1_ex23-1.htm">
              <w:r>
                <w:rPr>
                  <w:rStyle w:val="InternetLink"/>
                  <w:rFonts w:ascii="Times New Roman;Times;Serif" w:hAnsi="Times New Roman;Times;Serif"/>
                  <w:sz w:val="20"/>
                </w:rPr>
                <w:t>23.1*</w:t>
              </w:r>
            </w:hyperlink>
          </w:p>
        </w:tc>
        <w:tc>
          <w:tcPr>
            <w:tcW w:w="60" w:type="dxa"/>
            <w:tcBorders/>
            <w:tcMar>
              <w:bottom w:w="0" w:type="dxa"/>
            </w:tcMar>
            <w:vAlign w:val="center"/>
          </w:tcPr>
          <w:p>
            <w:pPr>
              <w:pStyle w:val="TableContents"/>
              <w:bidi w:val="0"/>
              <w:spacing w:before="0" w:after="283"/>
              <w:jc w:val="both"/>
              <w:rPr/>
            </w:pPr>
            <w:r>
              <w:rPr/>
              <w:t> </w:t>
            </w:r>
          </w:p>
        </w:tc>
        <w:tc>
          <w:tcPr>
            <w:tcW w:w="9150" w:type="dxa"/>
            <w:tcBorders/>
            <w:tcMar>
              <w:bottom w:w="0" w:type="dxa"/>
            </w:tcMar>
            <w:vAlign w:val="center"/>
          </w:tcPr>
          <w:p>
            <w:pPr>
              <w:pStyle w:val="TableContents"/>
              <w:bidi w:val="0"/>
              <w:spacing w:before="0" w:after="283"/>
              <w:jc w:val="both"/>
              <w:rPr/>
            </w:pPr>
            <w:hyperlink w:anchor="tm268810d1_ex23-1.htm">
              <w:r>
                <w:rPr>
                  <w:rStyle w:val="InternetLink"/>
                  <w:rFonts w:ascii="Times New Roman;Times;Serif" w:hAnsi="Times New Roman;Times;Serif"/>
                  <w:sz w:val="20"/>
                </w:rPr>
                <w:t>Consent of PricewaterhouseCoopers LLP, Independent Registered Public Accounting Firm.</w:t>
              </w:r>
            </w:hyperlink>
          </w:p>
        </w:tc>
      </w:tr>
      <w:tr>
        <w:trPr/>
        <w:tc>
          <w:tcPr>
            <w:tcW w:w="995" w:type="dxa"/>
            <w:tcBorders/>
            <w:tcMar>
              <w:bottom w:w="0" w:type="dxa"/>
            </w:tcMar>
            <w:vAlign w:val="center"/>
          </w:tcPr>
          <w:p>
            <w:pPr>
              <w:pStyle w:val="TableContents"/>
              <w:bidi w:val="0"/>
              <w:spacing w:before="0" w:after="283"/>
              <w:jc w:val="both"/>
              <w:rPr/>
            </w:pPr>
            <w:r>
              <w:rPr/>
              <w:t> </w:t>
            </w:r>
          </w:p>
        </w:tc>
        <w:tc>
          <w:tcPr>
            <w:tcW w:w="9210" w:type="dxa"/>
            <w:gridSpan w:val="2"/>
            <w:tcBorders/>
            <w:tcMar>
              <w:bottom w:w="0" w:type="dxa"/>
            </w:tcMar>
            <w:vAlign w:val="center"/>
          </w:tcPr>
          <w:p>
            <w:pPr>
              <w:pStyle w:val="TableContents"/>
              <w:bidi w:val="0"/>
              <w:spacing w:before="0" w:after="283"/>
              <w:jc w:val="both"/>
              <w:rPr/>
            </w:pPr>
            <w:r>
              <w:rPr/>
              <w:t> </w:t>
            </w:r>
          </w:p>
        </w:tc>
      </w:tr>
      <w:tr>
        <w:trPr/>
        <w:tc>
          <w:tcPr>
            <w:tcW w:w="995" w:type="dxa"/>
            <w:tcBorders/>
            <w:tcMar>
              <w:bottom w:w="0" w:type="dxa"/>
            </w:tcMar>
            <w:vAlign w:val="center"/>
          </w:tcPr>
          <w:p>
            <w:pPr>
              <w:pStyle w:val="TableContents"/>
              <w:bidi w:val="0"/>
              <w:spacing w:before="0" w:after="283"/>
              <w:jc w:val="both"/>
              <w:rPr/>
            </w:pPr>
            <w:hyperlink w:anchor="tm268810d1_ex5-1.htm">
              <w:r>
                <w:rPr>
                  <w:rStyle w:val="InternetLink"/>
                  <w:rFonts w:ascii="Times New Roman;Times;Serif" w:hAnsi="Times New Roman;Times;Serif"/>
                  <w:sz w:val="20"/>
                </w:rPr>
                <w:t>23.2*</w:t>
              </w:r>
            </w:hyperlink>
          </w:p>
        </w:tc>
        <w:tc>
          <w:tcPr>
            <w:tcW w:w="60" w:type="dxa"/>
            <w:tcBorders/>
            <w:tcMar>
              <w:bottom w:w="0" w:type="dxa"/>
            </w:tcMar>
            <w:vAlign w:val="center"/>
          </w:tcPr>
          <w:p>
            <w:pPr>
              <w:pStyle w:val="TableContents"/>
              <w:bidi w:val="0"/>
              <w:spacing w:before="0" w:after="283"/>
              <w:jc w:val="both"/>
              <w:rPr/>
            </w:pPr>
            <w:r>
              <w:rPr/>
              <w:t> </w:t>
            </w:r>
          </w:p>
        </w:tc>
        <w:tc>
          <w:tcPr>
            <w:tcW w:w="9150" w:type="dxa"/>
            <w:tcBorders/>
            <w:tcMar>
              <w:bottom w:w="0" w:type="dxa"/>
            </w:tcMar>
            <w:vAlign w:val="center"/>
          </w:tcPr>
          <w:p>
            <w:pPr>
              <w:pStyle w:val="TableContents"/>
              <w:bidi w:val="0"/>
              <w:spacing w:before="0" w:after="283"/>
              <w:jc w:val="both"/>
              <w:rPr/>
            </w:pPr>
            <w:hyperlink w:anchor="tm268810d1_ex5-1.htm">
              <w:r>
                <w:rPr>
                  <w:rStyle w:val="InternetLink"/>
                  <w:rFonts w:ascii="Times New Roman;Times;Serif" w:hAnsi="Times New Roman;Times;Serif"/>
                  <w:sz w:val="20"/>
                </w:rPr>
                <w:t xml:space="preserve">Consent of Goodwin Procter LLP (included in Exhibit 5.1). </w:t>
              </w:r>
            </w:hyperlink>
          </w:p>
        </w:tc>
      </w:tr>
      <w:tr>
        <w:trPr/>
        <w:tc>
          <w:tcPr>
            <w:tcW w:w="995" w:type="dxa"/>
            <w:tcBorders/>
            <w:tcMar>
              <w:bottom w:w="0" w:type="dxa"/>
            </w:tcMar>
            <w:vAlign w:val="center"/>
          </w:tcPr>
          <w:p>
            <w:pPr>
              <w:pStyle w:val="TableContents"/>
              <w:bidi w:val="0"/>
              <w:spacing w:before="0" w:after="283"/>
              <w:jc w:val="both"/>
              <w:rPr/>
            </w:pPr>
            <w:r>
              <w:rPr/>
              <w:t> </w:t>
            </w:r>
          </w:p>
        </w:tc>
        <w:tc>
          <w:tcPr>
            <w:tcW w:w="9210" w:type="dxa"/>
            <w:gridSpan w:val="2"/>
            <w:tcBorders/>
            <w:tcMar>
              <w:bottom w:w="0" w:type="dxa"/>
            </w:tcMar>
            <w:vAlign w:val="center"/>
          </w:tcPr>
          <w:p>
            <w:pPr>
              <w:pStyle w:val="TableContents"/>
              <w:bidi w:val="0"/>
              <w:spacing w:before="0" w:after="283"/>
              <w:jc w:val="both"/>
              <w:rPr/>
            </w:pPr>
            <w:r>
              <w:rPr/>
              <w:t> </w:t>
            </w:r>
          </w:p>
        </w:tc>
      </w:tr>
      <w:tr>
        <w:trPr/>
        <w:tc>
          <w:tcPr>
            <w:tcW w:w="995" w:type="dxa"/>
            <w:tcBorders/>
            <w:tcMar>
              <w:bottom w:w="0" w:type="dxa"/>
            </w:tcMar>
            <w:vAlign w:val="center"/>
          </w:tcPr>
          <w:p>
            <w:pPr>
              <w:pStyle w:val="TableContents"/>
              <w:bidi w:val="0"/>
              <w:spacing w:before="0" w:after="283"/>
              <w:jc w:val="both"/>
              <w:rPr/>
            </w:pPr>
            <w:hyperlink w:anchor="a_001">
              <w:r>
                <w:rPr>
                  <w:rStyle w:val="InternetLink"/>
                  <w:rFonts w:ascii="Times New Roman;Times;Serif" w:hAnsi="Times New Roman;Times;Serif"/>
                  <w:sz w:val="20"/>
                </w:rPr>
                <w:t>24.1*</w:t>
              </w:r>
            </w:hyperlink>
          </w:p>
        </w:tc>
        <w:tc>
          <w:tcPr>
            <w:tcW w:w="60" w:type="dxa"/>
            <w:tcBorders/>
            <w:tcMar>
              <w:bottom w:w="0" w:type="dxa"/>
            </w:tcMar>
            <w:vAlign w:val="center"/>
          </w:tcPr>
          <w:p>
            <w:pPr>
              <w:pStyle w:val="TableContents"/>
              <w:bidi w:val="0"/>
              <w:spacing w:before="0" w:after="283"/>
              <w:jc w:val="both"/>
              <w:rPr/>
            </w:pPr>
            <w:r>
              <w:rPr/>
              <w:t> </w:t>
            </w:r>
          </w:p>
        </w:tc>
        <w:tc>
          <w:tcPr>
            <w:tcW w:w="9150" w:type="dxa"/>
            <w:tcBorders/>
            <w:tcMar>
              <w:bottom w:w="0" w:type="dxa"/>
            </w:tcMar>
            <w:vAlign w:val="center"/>
          </w:tcPr>
          <w:p>
            <w:pPr>
              <w:pStyle w:val="TableContents"/>
              <w:bidi w:val="0"/>
              <w:spacing w:before="0" w:after="283"/>
              <w:jc w:val="both"/>
              <w:rPr/>
            </w:pPr>
            <w:hyperlink w:anchor="a_001">
              <w:r>
                <w:rPr>
                  <w:rStyle w:val="InternetLink"/>
                  <w:rFonts w:ascii="Times New Roman;Times;Serif" w:hAnsi="Times New Roman;Times;Serif"/>
                  <w:sz w:val="20"/>
                </w:rPr>
                <w:t xml:space="preserve">Power of Attorney (included on signature page to this registration statement). </w:t>
              </w:r>
            </w:hyperlink>
          </w:p>
        </w:tc>
      </w:tr>
      <w:tr>
        <w:trPr/>
        <w:tc>
          <w:tcPr>
            <w:tcW w:w="99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9150" w:type="dxa"/>
            <w:tcBorders/>
            <w:tcMar>
              <w:bottom w:w="0" w:type="dxa"/>
            </w:tcMar>
            <w:vAlign w:val="center"/>
          </w:tcPr>
          <w:p>
            <w:pPr>
              <w:pStyle w:val="TableContents"/>
              <w:bidi w:val="0"/>
              <w:spacing w:before="0" w:after="283"/>
              <w:jc w:val="both"/>
              <w:rPr/>
            </w:pPr>
            <w:r>
              <w:rPr/>
              <w:t> </w:t>
            </w:r>
          </w:p>
        </w:tc>
      </w:tr>
      <w:tr>
        <w:trPr/>
        <w:tc>
          <w:tcPr>
            <w:tcW w:w="995" w:type="dxa"/>
            <w:tcBorders/>
            <w:tcMar>
              <w:bottom w:w="0" w:type="dxa"/>
            </w:tcMar>
            <w:vAlign w:val="center"/>
          </w:tcPr>
          <w:p>
            <w:pPr>
              <w:pStyle w:val="TableContents"/>
              <w:bidi w:val="0"/>
              <w:spacing w:before="0" w:after="283"/>
              <w:jc w:val="both"/>
              <w:rPr/>
            </w:pPr>
            <w:hyperlink w:anchor="tm268810d1_ex-filingfees.htm">
              <w:r>
                <w:rPr>
                  <w:rStyle w:val="InternetLink"/>
                  <w:rFonts w:ascii="Times New Roman;Times;Serif" w:hAnsi="Times New Roman;Times;Serif"/>
                  <w:sz w:val="20"/>
                </w:rPr>
                <w:t>107*</w:t>
              </w:r>
            </w:hyperlink>
          </w:p>
        </w:tc>
        <w:tc>
          <w:tcPr>
            <w:tcW w:w="60" w:type="dxa"/>
            <w:tcBorders/>
            <w:tcMar>
              <w:bottom w:w="0" w:type="dxa"/>
            </w:tcMar>
            <w:vAlign w:val="center"/>
          </w:tcPr>
          <w:p>
            <w:pPr>
              <w:pStyle w:val="TableContents"/>
              <w:bidi w:val="0"/>
              <w:spacing w:before="0" w:after="283"/>
              <w:jc w:val="both"/>
              <w:rPr/>
            </w:pPr>
            <w:r>
              <w:rPr/>
              <w:t> </w:t>
            </w:r>
          </w:p>
        </w:tc>
        <w:tc>
          <w:tcPr>
            <w:tcW w:w="9150" w:type="dxa"/>
            <w:tcBorders/>
            <w:tcMar>
              <w:bottom w:w="0" w:type="dxa"/>
            </w:tcMar>
            <w:vAlign w:val="center"/>
          </w:tcPr>
          <w:p>
            <w:pPr>
              <w:pStyle w:val="TableContents"/>
              <w:bidi w:val="0"/>
              <w:spacing w:before="0" w:after="283"/>
              <w:jc w:val="both"/>
              <w:rPr/>
            </w:pPr>
            <w:hyperlink w:anchor="tm268810d1_ex-filingfees.htm">
              <w:r>
                <w:rPr>
                  <w:rStyle w:val="InternetLink"/>
                  <w:rFonts w:ascii="Times New Roman;Times;Serif" w:hAnsi="Times New Roman;Times;Serif"/>
                  <w:sz w:val="20"/>
                </w:rPr>
                <w:t xml:space="preserve">Filing Fee Table. </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Filed herewith.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Cambridge, State of Massachusetts, on the 16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March, 2026.</w:t>
      </w:r>
    </w:p>
    <w:p>
      <w:pPr>
        <w:pStyle w:val="TextBody"/>
        <w:bidi w:val="0"/>
        <w:spacing w:before="0" w:after="0"/>
        <w:ind w:left="0" w:right="0" w:hanging="0"/>
        <w:jc w:val="left"/>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75"/>
        <w:gridCol w:w="320"/>
        <w:gridCol w:w="3620"/>
      </w:tblGrid>
      <w:tr>
        <w:trPr/>
        <w:tc>
          <w:tcPr>
            <w:tcW w:w="75" w:type="dxa"/>
            <w:tcBorders/>
            <w:vAlign w:val="center"/>
          </w:tcPr>
          <w:p>
            <w:pPr>
              <w:pStyle w:val="TableContents"/>
              <w:bidi w:val="0"/>
              <w:spacing w:before="0" w:after="283"/>
              <w:jc w:val="left"/>
              <w:rPr/>
            </w:pPr>
            <w:r>
              <w:rPr/>
              <w:t> </w:t>
            </w:r>
          </w:p>
        </w:tc>
        <w:tc>
          <w:tcPr>
            <w:tcW w:w="394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BLACK DIAMOND THERAPEUTICS,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Mark A. Velleca</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pPr>
            <w:r>
              <w:rPr/>
              <w:t>Mark A. Velleca</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i/>
              </w:rPr>
            </w:pPr>
            <w:r>
              <w:rPr>
                <w:i/>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POWER OF ATTORNEY AND 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 that each individual whose signature appears below hereby constitutes and appoints Mark A. Velleca and Brent Hatzis-Schoch, and each of them, either of whom may act without the joinder of the other,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on Form S-8,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his or their substitute or substitutes,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in the capacities and on the date indicated below.</w:t>
      </w:r>
    </w:p>
    <w:p>
      <w:pPr>
        <w:pStyle w:val="TextBody"/>
        <w:bidi w:val="0"/>
        <w:spacing w:before="0" w:after="0"/>
        <w:ind w:left="0" w:right="0" w:hanging="0"/>
        <w:jc w:val="left"/>
        <w:rPr>
          <w:caps w:val="false"/>
          <w:smallCaps w:val="false"/>
        </w:rPr>
      </w:pPr>
      <w:r>
        <w:rPr>
          <w:caps w:val="false"/>
          <w:smallCaps w:val="false"/>
        </w:rPr>
        <w:t> </w:t>
      </w:r>
    </w:p>
    <w:tbl>
      <w:tblPr>
        <w:tblW w:w="8460" w:type="dxa"/>
        <w:jc w:val="left"/>
        <w:tblInd w:w="0" w:type="dxa"/>
        <w:tblLayout w:type="fixed"/>
        <w:tblCellMar>
          <w:top w:w="0" w:type="dxa"/>
          <w:left w:w="0" w:type="dxa"/>
          <w:bottom w:w="0" w:type="dxa"/>
          <w:right w:w="0" w:type="dxa"/>
        </w:tblCellMar>
      </w:tblPr>
      <w:tblGrid>
        <w:gridCol w:w="1835"/>
        <w:gridCol w:w="60"/>
        <w:gridCol w:w="5180"/>
        <w:gridCol w:w="60"/>
        <w:gridCol w:w="1325"/>
      </w:tblGrid>
      <w:tr>
        <w:trPr/>
        <w:tc>
          <w:tcPr>
            <w:tcW w:w="18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w:t>
            </w:r>
          </w:p>
        </w:tc>
        <w:tc>
          <w:tcPr>
            <w:tcW w:w="60" w:type="dxa"/>
            <w:tcBorders/>
            <w:vAlign w:val="center"/>
          </w:tcPr>
          <w:p>
            <w:pPr>
              <w:pStyle w:val="TableContents"/>
              <w:bidi w:val="0"/>
              <w:spacing w:before="0" w:after="283"/>
              <w:jc w:val="center"/>
              <w:rPr/>
            </w:pPr>
            <w:r>
              <w:rPr/>
              <w:t> </w:t>
            </w:r>
          </w:p>
        </w:tc>
        <w:tc>
          <w:tcPr>
            <w:tcW w:w="518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vAlign w:val="center"/>
          </w:tcPr>
          <w:p>
            <w:pPr>
              <w:pStyle w:val="TableContents"/>
              <w:bidi w:val="0"/>
              <w:spacing w:before="0" w:after="283"/>
              <w:jc w:val="center"/>
              <w:rPr/>
            </w:pPr>
            <w:r>
              <w:rPr/>
              <w:t> </w:t>
            </w:r>
          </w:p>
        </w:tc>
        <w:tc>
          <w:tcPr>
            <w:tcW w:w="132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1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5" w:type="dxa"/>
            <w:tcBorders/>
            <w:vAlign w:val="center"/>
          </w:tcPr>
          <w:p>
            <w:pPr>
              <w:pStyle w:val="TableContents"/>
              <w:bidi w:val="0"/>
              <w:spacing w:before="0" w:after="283"/>
              <w:jc w:val="center"/>
              <w:rPr/>
            </w:pPr>
            <w:r>
              <w:rPr/>
              <w:t> </w:t>
            </w:r>
          </w:p>
        </w:tc>
      </w:tr>
      <w:tr>
        <w:trPr/>
        <w:tc>
          <w:tcPr>
            <w:tcW w:w="18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Mark A. Velleca</w:t>
            </w:r>
          </w:p>
        </w:tc>
        <w:tc>
          <w:tcPr>
            <w:tcW w:w="60" w:type="dxa"/>
            <w:tcBorders/>
            <w:vAlign w:val="center"/>
          </w:tcPr>
          <w:p>
            <w:pPr>
              <w:pStyle w:val="TableContents"/>
              <w:bidi w:val="0"/>
              <w:spacing w:before="0" w:after="283"/>
              <w:jc w:val="center"/>
              <w:rPr/>
            </w:pPr>
            <w:r>
              <w:rPr/>
              <w:t> </w:t>
            </w:r>
          </w:p>
        </w:tc>
        <w:tc>
          <w:tcPr>
            <w:tcW w:w="5180" w:type="dxa"/>
            <w:tcBorders/>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President, Chief Executive Officer, Chairman and Director</w:t>
            </w:r>
          </w:p>
        </w:tc>
        <w:tc>
          <w:tcPr>
            <w:tcW w:w="60" w:type="dxa"/>
            <w:tcBorders/>
            <w:vAlign w:val="center"/>
          </w:tcPr>
          <w:p>
            <w:pPr>
              <w:pStyle w:val="TableContents"/>
              <w:bidi w:val="0"/>
              <w:spacing w:before="0" w:after="283"/>
              <w:jc w:val="center"/>
              <w:rPr/>
            </w:pPr>
            <w:r>
              <w:rPr/>
              <w:t> </w:t>
            </w:r>
          </w:p>
        </w:tc>
        <w:tc>
          <w:tcPr>
            <w:tcW w:w="13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16, 2026</w:t>
            </w:r>
          </w:p>
        </w:tc>
      </w:tr>
      <w:tr>
        <w:trPr/>
        <w:tc>
          <w:tcPr>
            <w:tcW w:w="18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Mark A. Velleca</w:t>
            </w:r>
          </w:p>
        </w:tc>
        <w:tc>
          <w:tcPr>
            <w:tcW w:w="60" w:type="dxa"/>
            <w:tcBorders/>
            <w:vAlign w:val="center"/>
          </w:tcPr>
          <w:p>
            <w:pPr>
              <w:pStyle w:val="TableContents"/>
              <w:bidi w:val="0"/>
              <w:spacing w:before="0" w:after="283"/>
              <w:jc w:val="center"/>
              <w:rPr/>
            </w:pPr>
            <w:r>
              <w:rPr/>
              <w:t> </w:t>
            </w:r>
          </w:p>
        </w:tc>
        <w:tc>
          <w:tcPr>
            <w:tcW w:w="5180" w:type="dxa"/>
            <w:tcBorders/>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(Principal Executive Officer)</w:t>
            </w:r>
          </w:p>
        </w:tc>
        <w:tc>
          <w:tcPr>
            <w:tcW w:w="60" w:type="dxa"/>
            <w:tcBorders/>
            <w:vAlign w:val="center"/>
          </w:tcPr>
          <w:p>
            <w:pPr>
              <w:pStyle w:val="TableContents"/>
              <w:bidi w:val="0"/>
              <w:spacing w:before="0" w:after="283"/>
              <w:jc w:val="center"/>
              <w:rPr/>
            </w:pPr>
            <w:r>
              <w:rPr/>
              <w:t> </w:t>
            </w:r>
          </w:p>
        </w:tc>
        <w:tc>
          <w:tcPr>
            <w:tcW w:w="1325" w:type="dxa"/>
            <w:tcBorders/>
            <w:vAlign w:val="center"/>
          </w:tcPr>
          <w:p>
            <w:pPr>
              <w:pStyle w:val="TableContents"/>
              <w:bidi w:val="0"/>
              <w:spacing w:before="0" w:after="283"/>
              <w:jc w:val="center"/>
              <w:rPr/>
            </w:pPr>
            <w:r>
              <w:rPr/>
              <w:t> </w:t>
            </w:r>
          </w:p>
        </w:tc>
      </w:tr>
      <w:tr>
        <w:trPr/>
        <w:tc>
          <w:tcPr>
            <w:tcW w:w="1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1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5" w:type="dxa"/>
            <w:tcBorders/>
            <w:vAlign w:val="center"/>
          </w:tcPr>
          <w:p>
            <w:pPr>
              <w:pStyle w:val="TableContents"/>
              <w:bidi w:val="0"/>
              <w:spacing w:before="0" w:after="283"/>
              <w:jc w:val="center"/>
              <w:rPr/>
            </w:pPr>
            <w:r>
              <w:rPr/>
              <w:t> </w:t>
            </w:r>
          </w:p>
        </w:tc>
      </w:tr>
      <w:tr>
        <w:trPr/>
        <w:tc>
          <w:tcPr>
            <w:tcW w:w="18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Erika Jones</w:t>
            </w:r>
          </w:p>
        </w:tc>
        <w:tc>
          <w:tcPr>
            <w:tcW w:w="60" w:type="dxa"/>
            <w:tcBorders/>
            <w:vAlign w:val="center"/>
          </w:tcPr>
          <w:p>
            <w:pPr>
              <w:pStyle w:val="TableContents"/>
              <w:bidi w:val="0"/>
              <w:spacing w:before="0" w:after="283"/>
              <w:jc w:val="center"/>
              <w:rPr/>
            </w:pPr>
            <w:r>
              <w:rPr/>
              <w:t> </w:t>
            </w:r>
          </w:p>
        </w:tc>
        <w:tc>
          <w:tcPr>
            <w:tcW w:w="5180" w:type="dxa"/>
            <w:tcBorders/>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Senior Vice President, Finance</w:t>
            </w:r>
          </w:p>
        </w:tc>
        <w:tc>
          <w:tcPr>
            <w:tcW w:w="60" w:type="dxa"/>
            <w:tcBorders/>
            <w:vAlign w:val="center"/>
          </w:tcPr>
          <w:p>
            <w:pPr>
              <w:pStyle w:val="TableContents"/>
              <w:bidi w:val="0"/>
              <w:spacing w:before="0" w:after="283"/>
              <w:jc w:val="center"/>
              <w:rPr/>
            </w:pPr>
            <w:r>
              <w:rPr/>
              <w:t> </w:t>
            </w:r>
          </w:p>
        </w:tc>
        <w:tc>
          <w:tcPr>
            <w:tcW w:w="13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16, 2026</w:t>
            </w:r>
          </w:p>
        </w:tc>
      </w:tr>
      <w:tr>
        <w:trPr/>
        <w:tc>
          <w:tcPr>
            <w:tcW w:w="18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Erika Jones</w:t>
            </w:r>
          </w:p>
        </w:tc>
        <w:tc>
          <w:tcPr>
            <w:tcW w:w="60" w:type="dxa"/>
            <w:tcBorders/>
            <w:vAlign w:val="center"/>
          </w:tcPr>
          <w:p>
            <w:pPr>
              <w:pStyle w:val="TableContents"/>
              <w:bidi w:val="0"/>
              <w:spacing w:before="0" w:after="283"/>
              <w:jc w:val="center"/>
              <w:rPr/>
            </w:pPr>
            <w:r>
              <w:rPr/>
              <w:t> </w:t>
            </w:r>
          </w:p>
        </w:tc>
        <w:tc>
          <w:tcPr>
            <w:tcW w:w="5180" w:type="dxa"/>
            <w:tcBorders/>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(Principal Financial Officer and Principal Accounting Officer)</w:t>
            </w:r>
          </w:p>
        </w:tc>
        <w:tc>
          <w:tcPr>
            <w:tcW w:w="60" w:type="dxa"/>
            <w:tcBorders/>
            <w:vAlign w:val="center"/>
          </w:tcPr>
          <w:p>
            <w:pPr>
              <w:pStyle w:val="TableContents"/>
              <w:bidi w:val="0"/>
              <w:spacing w:before="0" w:after="283"/>
              <w:jc w:val="center"/>
              <w:rPr/>
            </w:pPr>
            <w:r>
              <w:rPr/>
              <w:t> </w:t>
            </w:r>
          </w:p>
        </w:tc>
        <w:tc>
          <w:tcPr>
            <w:tcW w:w="1325" w:type="dxa"/>
            <w:tcBorders/>
            <w:vAlign w:val="center"/>
          </w:tcPr>
          <w:p>
            <w:pPr>
              <w:pStyle w:val="TableContents"/>
              <w:bidi w:val="0"/>
              <w:spacing w:before="0" w:after="283"/>
              <w:jc w:val="center"/>
              <w:rPr/>
            </w:pPr>
            <w:r>
              <w:rPr/>
              <w:t> </w:t>
            </w:r>
          </w:p>
        </w:tc>
      </w:tr>
      <w:tr>
        <w:trPr/>
        <w:tc>
          <w:tcPr>
            <w:tcW w:w="1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1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5" w:type="dxa"/>
            <w:tcBorders/>
            <w:vAlign w:val="center"/>
          </w:tcPr>
          <w:p>
            <w:pPr>
              <w:pStyle w:val="TableContents"/>
              <w:bidi w:val="0"/>
              <w:spacing w:before="0" w:after="283"/>
              <w:jc w:val="center"/>
              <w:rPr/>
            </w:pPr>
            <w:r>
              <w:rPr/>
              <w:t> </w:t>
            </w:r>
          </w:p>
        </w:tc>
      </w:tr>
      <w:tr>
        <w:trPr/>
        <w:tc>
          <w:tcPr>
            <w:tcW w:w="18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Ali Behbahani</w:t>
            </w:r>
          </w:p>
        </w:tc>
        <w:tc>
          <w:tcPr>
            <w:tcW w:w="60" w:type="dxa"/>
            <w:tcBorders/>
            <w:vAlign w:val="center"/>
          </w:tcPr>
          <w:p>
            <w:pPr>
              <w:pStyle w:val="TableContents"/>
              <w:bidi w:val="0"/>
              <w:spacing w:before="0" w:after="283"/>
              <w:jc w:val="center"/>
              <w:rPr/>
            </w:pPr>
            <w:r>
              <w:rPr/>
              <w:t> </w:t>
            </w:r>
          </w:p>
        </w:tc>
        <w:tc>
          <w:tcPr>
            <w:tcW w:w="5180" w:type="dxa"/>
            <w:tcBorders/>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Director</w:t>
            </w:r>
          </w:p>
        </w:tc>
        <w:tc>
          <w:tcPr>
            <w:tcW w:w="60" w:type="dxa"/>
            <w:tcBorders/>
            <w:vAlign w:val="center"/>
          </w:tcPr>
          <w:p>
            <w:pPr>
              <w:pStyle w:val="TableContents"/>
              <w:bidi w:val="0"/>
              <w:spacing w:before="0" w:after="283"/>
              <w:jc w:val="center"/>
              <w:rPr/>
            </w:pPr>
            <w:r>
              <w:rPr/>
              <w:t> </w:t>
            </w:r>
          </w:p>
        </w:tc>
        <w:tc>
          <w:tcPr>
            <w:tcW w:w="13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16, 2026</w:t>
            </w:r>
          </w:p>
        </w:tc>
      </w:tr>
      <w:tr>
        <w:trPr/>
        <w:tc>
          <w:tcPr>
            <w:tcW w:w="18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Ali Behbahani</w:t>
            </w:r>
          </w:p>
        </w:tc>
        <w:tc>
          <w:tcPr>
            <w:tcW w:w="60" w:type="dxa"/>
            <w:tcBorders/>
            <w:vAlign w:val="center"/>
          </w:tcPr>
          <w:p>
            <w:pPr>
              <w:pStyle w:val="TableContents"/>
              <w:bidi w:val="0"/>
              <w:spacing w:before="0" w:after="283"/>
              <w:jc w:val="center"/>
              <w:rPr/>
            </w:pPr>
            <w:r>
              <w:rPr/>
              <w:t> </w:t>
            </w:r>
          </w:p>
        </w:tc>
        <w:tc>
          <w:tcPr>
            <w:tcW w:w="51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5" w:type="dxa"/>
            <w:tcBorders/>
            <w:vAlign w:val="center"/>
          </w:tcPr>
          <w:p>
            <w:pPr>
              <w:pStyle w:val="TableContents"/>
              <w:bidi w:val="0"/>
              <w:spacing w:before="0" w:after="283"/>
              <w:jc w:val="center"/>
              <w:rPr/>
            </w:pPr>
            <w:r>
              <w:rPr/>
              <w:t> </w:t>
            </w:r>
          </w:p>
        </w:tc>
      </w:tr>
      <w:tr>
        <w:trPr/>
        <w:tc>
          <w:tcPr>
            <w:tcW w:w="1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1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5" w:type="dxa"/>
            <w:tcBorders/>
            <w:vAlign w:val="center"/>
          </w:tcPr>
          <w:p>
            <w:pPr>
              <w:pStyle w:val="TableContents"/>
              <w:bidi w:val="0"/>
              <w:spacing w:before="0" w:after="283"/>
              <w:jc w:val="center"/>
              <w:rPr/>
            </w:pPr>
            <w:r>
              <w:rPr/>
              <w:t> </w:t>
            </w:r>
          </w:p>
        </w:tc>
      </w:tr>
      <w:tr>
        <w:trPr/>
        <w:tc>
          <w:tcPr>
            <w:tcW w:w="18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Kapil Dhingra</w:t>
            </w:r>
          </w:p>
        </w:tc>
        <w:tc>
          <w:tcPr>
            <w:tcW w:w="60" w:type="dxa"/>
            <w:tcBorders/>
            <w:vAlign w:val="center"/>
          </w:tcPr>
          <w:p>
            <w:pPr>
              <w:pStyle w:val="TableContents"/>
              <w:bidi w:val="0"/>
              <w:spacing w:before="0" w:after="283"/>
              <w:jc w:val="center"/>
              <w:rPr/>
            </w:pPr>
            <w:r>
              <w:rPr/>
              <w:t> </w:t>
            </w:r>
          </w:p>
        </w:tc>
        <w:tc>
          <w:tcPr>
            <w:tcW w:w="5180" w:type="dxa"/>
            <w:tcBorders/>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Director</w:t>
            </w:r>
          </w:p>
        </w:tc>
        <w:tc>
          <w:tcPr>
            <w:tcW w:w="60" w:type="dxa"/>
            <w:tcBorders/>
            <w:vAlign w:val="center"/>
          </w:tcPr>
          <w:p>
            <w:pPr>
              <w:pStyle w:val="TableContents"/>
              <w:bidi w:val="0"/>
              <w:spacing w:before="0" w:after="283"/>
              <w:jc w:val="center"/>
              <w:rPr/>
            </w:pPr>
            <w:r>
              <w:rPr/>
              <w:t> </w:t>
            </w:r>
          </w:p>
        </w:tc>
        <w:tc>
          <w:tcPr>
            <w:tcW w:w="13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16, 2026</w:t>
            </w:r>
          </w:p>
        </w:tc>
      </w:tr>
      <w:tr>
        <w:trPr/>
        <w:tc>
          <w:tcPr>
            <w:tcW w:w="18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Kapil Dhingra</w:t>
            </w:r>
          </w:p>
        </w:tc>
        <w:tc>
          <w:tcPr>
            <w:tcW w:w="60" w:type="dxa"/>
            <w:tcBorders/>
            <w:vAlign w:val="center"/>
          </w:tcPr>
          <w:p>
            <w:pPr>
              <w:pStyle w:val="TableContents"/>
              <w:bidi w:val="0"/>
              <w:spacing w:before="0" w:after="283"/>
              <w:jc w:val="center"/>
              <w:rPr/>
            </w:pPr>
            <w:r>
              <w:rPr/>
              <w:t> </w:t>
            </w:r>
          </w:p>
        </w:tc>
        <w:tc>
          <w:tcPr>
            <w:tcW w:w="51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5" w:type="dxa"/>
            <w:tcBorders/>
            <w:vAlign w:val="center"/>
          </w:tcPr>
          <w:p>
            <w:pPr>
              <w:pStyle w:val="TableContents"/>
              <w:bidi w:val="0"/>
              <w:spacing w:before="0" w:after="283"/>
              <w:jc w:val="center"/>
              <w:rPr/>
            </w:pPr>
            <w:r>
              <w:rPr/>
              <w:t> </w:t>
            </w:r>
          </w:p>
        </w:tc>
      </w:tr>
      <w:tr>
        <w:trPr/>
        <w:tc>
          <w:tcPr>
            <w:tcW w:w="1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1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5" w:type="dxa"/>
            <w:tcBorders/>
            <w:vAlign w:val="center"/>
          </w:tcPr>
          <w:p>
            <w:pPr>
              <w:pStyle w:val="TableContents"/>
              <w:bidi w:val="0"/>
              <w:spacing w:before="0" w:after="283"/>
              <w:jc w:val="center"/>
              <w:rPr/>
            </w:pPr>
            <w:r>
              <w:rPr/>
              <w:t> </w:t>
            </w:r>
          </w:p>
        </w:tc>
      </w:tr>
      <w:tr>
        <w:trPr/>
        <w:tc>
          <w:tcPr>
            <w:tcW w:w="18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Shannon Campbell</w:t>
            </w:r>
          </w:p>
        </w:tc>
        <w:tc>
          <w:tcPr>
            <w:tcW w:w="60" w:type="dxa"/>
            <w:tcBorders/>
            <w:vAlign w:val="center"/>
          </w:tcPr>
          <w:p>
            <w:pPr>
              <w:pStyle w:val="TableContents"/>
              <w:bidi w:val="0"/>
              <w:spacing w:before="0" w:after="283"/>
              <w:jc w:val="center"/>
              <w:rPr/>
            </w:pPr>
            <w:r>
              <w:rPr/>
              <w:t> </w:t>
            </w:r>
          </w:p>
        </w:tc>
        <w:tc>
          <w:tcPr>
            <w:tcW w:w="5180" w:type="dxa"/>
            <w:tcBorders/>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Director</w:t>
            </w:r>
          </w:p>
        </w:tc>
        <w:tc>
          <w:tcPr>
            <w:tcW w:w="60" w:type="dxa"/>
            <w:tcBorders/>
            <w:vAlign w:val="center"/>
          </w:tcPr>
          <w:p>
            <w:pPr>
              <w:pStyle w:val="TableContents"/>
              <w:bidi w:val="0"/>
              <w:spacing w:before="0" w:after="283"/>
              <w:jc w:val="center"/>
              <w:rPr/>
            </w:pPr>
            <w:r>
              <w:rPr/>
              <w:t> </w:t>
            </w:r>
          </w:p>
        </w:tc>
        <w:tc>
          <w:tcPr>
            <w:tcW w:w="13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16, 2026</w:t>
            </w:r>
          </w:p>
        </w:tc>
      </w:tr>
      <w:tr>
        <w:trPr/>
        <w:tc>
          <w:tcPr>
            <w:tcW w:w="18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Shannon Campbell</w:t>
            </w:r>
          </w:p>
        </w:tc>
        <w:tc>
          <w:tcPr>
            <w:tcW w:w="60" w:type="dxa"/>
            <w:tcBorders/>
            <w:vAlign w:val="center"/>
          </w:tcPr>
          <w:p>
            <w:pPr>
              <w:pStyle w:val="TableContents"/>
              <w:bidi w:val="0"/>
              <w:spacing w:before="0" w:after="283"/>
              <w:jc w:val="center"/>
              <w:rPr/>
            </w:pPr>
            <w:r>
              <w:rPr/>
              <w:t> </w:t>
            </w:r>
          </w:p>
        </w:tc>
        <w:tc>
          <w:tcPr>
            <w:tcW w:w="51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5" w:type="dxa"/>
            <w:tcBorders/>
            <w:vAlign w:val="center"/>
          </w:tcPr>
          <w:p>
            <w:pPr>
              <w:pStyle w:val="TableContents"/>
              <w:bidi w:val="0"/>
              <w:spacing w:before="0" w:after="283"/>
              <w:jc w:val="center"/>
              <w:rPr/>
            </w:pPr>
            <w:r>
              <w:rPr/>
              <w:t> </w:t>
            </w:r>
          </w:p>
        </w:tc>
      </w:tr>
      <w:tr>
        <w:trPr/>
        <w:tc>
          <w:tcPr>
            <w:tcW w:w="1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1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5" w:type="dxa"/>
            <w:tcBorders/>
            <w:vAlign w:val="center"/>
          </w:tcPr>
          <w:p>
            <w:pPr>
              <w:pStyle w:val="TableContents"/>
              <w:bidi w:val="0"/>
              <w:spacing w:before="0" w:after="283"/>
              <w:jc w:val="center"/>
              <w:rPr/>
            </w:pPr>
            <w:r>
              <w:rPr/>
              <w:t> </w:t>
            </w:r>
          </w:p>
        </w:tc>
      </w:tr>
      <w:tr>
        <w:trPr/>
        <w:tc>
          <w:tcPr>
            <w:tcW w:w="18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Prakash Raman</w:t>
            </w:r>
          </w:p>
        </w:tc>
        <w:tc>
          <w:tcPr>
            <w:tcW w:w="60" w:type="dxa"/>
            <w:tcBorders/>
            <w:vAlign w:val="center"/>
          </w:tcPr>
          <w:p>
            <w:pPr>
              <w:pStyle w:val="TableContents"/>
              <w:bidi w:val="0"/>
              <w:spacing w:before="0" w:after="283"/>
              <w:jc w:val="center"/>
              <w:rPr/>
            </w:pPr>
            <w:r>
              <w:rPr/>
              <w:t> </w:t>
            </w:r>
          </w:p>
        </w:tc>
        <w:tc>
          <w:tcPr>
            <w:tcW w:w="5180" w:type="dxa"/>
            <w:tcBorders/>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Director</w:t>
            </w:r>
          </w:p>
        </w:tc>
        <w:tc>
          <w:tcPr>
            <w:tcW w:w="60" w:type="dxa"/>
            <w:tcBorders/>
            <w:vAlign w:val="center"/>
          </w:tcPr>
          <w:p>
            <w:pPr>
              <w:pStyle w:val="TableContents"/>
              <w:bidi w:val="0"/>
              <w:spacing w:before="0" w:after="283"/>
              <w:jc w:val="center"/>
              <w:rPr/>
            </w:pPr>
            <w:r>
              <w:rPr/>
              <w:t> </w:t>
            </w:r>
          </w:p>
        </w:tc>
        <w:tc>
          <w:tcPr>
            <w:tcW w:w="13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16, 2026</w:t>
            </w:r>
          </w:p>
        </w:tc>
      </w:tr>
      <w:tr>
        <w:trPr/>
        <w:tc>
          <w:tcPr>
            <w:tcW w:w="18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Prakash Raman</w:t>
            </w:r>
          </w:p>
        </w:tc>
        <w:tc>
          <w:tcPr>
            <w:tcW w:w="60" w:type="dxa"/>
            <w:tcBorders/>
            <w:vAlign w:val="center"/>
          </w:tcPr>
          <w:p>
            <w:pPr>
              <w:pStyle w:val="TableContents"/>
              <w:bidi w:val="0"/>
              <w:spacing w:before="0" w:after="283"/>
              <w:jc w:val="center"/>
              <w:rPr/>
            </w:pPr>
            <w:r>
              <w:rPr/>
              <w:t> </w:t>
            </w:r>
          </w:p>
        </w:tc>
        <w:tc>
          <w:tcPr>
            <w:tcW w:w="51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5" w:type="dxa"/>
            <w:tcBorders/>
            <w:vAlign w:val="center"/>
          </w:tcPr>
          <w:p>
            <w:pPr>
              <w:pStyle w:val="TableContents"/>
              <w:bidi w:val="0"/>
              <w:spacing w:before="0" w:after="283"/>
              <w:jc w:val="center"/>
              <w:rPr/>
            </w:pPr>
            <w:r>
              <w:rPr/>
              <w:t> </w:t>
            </w:r>
          </w:p>
        </w:tc>
      </w:tr>
      <w:tr>
        <w:trPr/>
        <w:tc>
          <w:tcPr>
            <w:tcW w:w="1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1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5" w:type="dxa"/>
            <w:tcBorders/>
            <w:vAlign w:val="center"/>
          </w:tcPr>
          <w:p>
            <w:pPr>
              <w:pStyle w:val="TableContents"/>
              <w:bidi w:val="0"/>
              <w:spacing w:before="0" w:after="283"/>
              <w:jc w:val="center"/>
              <w:rPr/>
            </w:pPr>
            <w:r>
              <w:rPr/>
              <w:t> </w:t>
            </w:r>
          </w:p>
        </w:tc>
      </w:tr>
      <w:tr>
        <w:trPr/>
        <w:tc>
          <w:tcPr>
            <w:tcW w:w="18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Samarth Kulkarni</w:t>
            </w:r>
          </w:p>
        </w:tc>
        <w:tc>
          <w:tcPr>
            <w:tcW w:w="60" w:type="dxa"/>
            <w:tcBorders/>
            <w:vAlign w:val="center"/>
          </w:tcPr>
          <w:p>
            <w:pPr>
              <w:pStyle w:val="TableContents"/>
              <w:bidi w:val="0"/>
              <w:spacing w:before="0" w:after="283"/>
              <w:jc w:val="center"/>
              <w:rPr/>
            </w:pPr>
            <w:r>
              <w:rPr/>
              <w:t> </w:t>
            </w:r>
          </w:p>
        </w:tc>
        <w:tc>
          <w:tcPr>
            <w:tcW w:w="5180" w:type="dxa"/>
            <w:tcBorders/>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Director</w:t>
            </w:r>
          </w:p>
        </w:tc>
        <w:tc>
          <w:tcPr>
            <w:tcW w:w="60" w:type="dxa"/>
            <w:tcBorders/>
            <w:vAlign w:val="center"/>
          </w:tcPr>
          <w:p>
            <w:pPr>
              <w:pStyle w:val="TableContents"/>
              <w:bidi w:val="0"/>
              <w:spacing w:before="0" w:after="283"/>
              <w:jc w:val="center"/>
              <w:rPr/>
            </w:pPr>
            <w:r>
              <w:rPr/>
              <w:t> </w:t>
            </w:r>
          </w:p>
        </w:tc>
        <w:tc>
          <w:tcPr>
            <w:tcW w:w="13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16, 2026</w:t>
            </w:r>
          </w:p>
        </w:tc>
      </w:tr>
      <w:tr>
        <w:trPr/>
        <w:tc>
          <w:tcPr>
            <w:tcW w:w="18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Samarth Kulkarni</w:t>
            </w:r>
          </w:p>
        </w:tc>
        <w:tc>
          <w:tcPr>
            <w:tcW w:w="60" w:type="dxa"/>
            <w:tcBorders/>
            <w:vAlign w:val="center"/>
          </w:tcPr>
          <w:p>
            <w:pPr>
              <w:pStyle w:val="TableContents"/>
              <w:bidi w:val="0"/>
              <w:spacing w:before="0" w:after="283"/>
              <w:jc w:val="center"/>
              <w:rPr/>
            </w:pPr>
            <w:r>
              <w:rPr/>
              <w:t> </w:t>
            </w:r>
          </w:p>
        </w:tc>
        <w:tc>
          <w:tcPr>
            <w:tcW w:w="51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5" w:type="dxa"/>
            <w:tcBorders/>
            <w:vAlign w:val="center"/>
          </w:tcPr>
          <w:p>
            <w:pPr>
              <w:pStyle w:val="TableContents"/>
              <w:bidi w:val="0"/>
              <w:spacing w:before="0" w:after="283"/>
              <w:jc w:val="center"/>
              <w:rPr/>
            </w:pPr>
            <w:r>
              <w:rPr/>
              <w:t> </w:t>
            </w:r>
          </w:p>
        </w:tc>
      </w:tr>
      <w:tr>
        <w:trPr/>
        <w:tc>
          <w:tcPr>
            <w:tcW w:w="1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1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5" w:type="dxa"/>
            <w:tcBorders/>
            <w:vAlign w:val="center"/>
          </w:tcPr>
          <w:p>
            <w:pPr>
              <w:pStyle w:val="TableContents"/>
              <w:bidi w:val="0"/>
              <w:spacing w:before="0" w:after="283"/>
              <w:jc w:val="center"/>
              <w:rPr/>
            </w:pPr>
            <w:r>
              <w:rPr/>
              <w:t> </w:t>
            </w:r>
          </w:p>
        </w:tc>
      </w:tr>
      <w:tr>
        <w:trPr/>
        <w:tc>
          <w:tcPr>
            <w:tcW w:w="18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Garry E. Menzel</w:t>
            </w:r>
          </w:p>
        </w:tc>
        <w:tc>
          <w:tcPr>
            <w:tcW w:w="60" w:type="dxa"/>
            <w:tcBorders/>
            <w:vAlign w:val="center"/>
          </w:tcPr>
          <w:p>
            <w:pPr>
              <w:pStyle w:val="TableContents"/>
              <w:bidi w:val="0"/>
              <w:spacing w:before="0" w:after="283"/>
              <w:jc w:val="center"/>
              <w:rPr/>
            </w:pPr>
            <w:r>
              <w:rPr/>
              <w:t> </w:t>
            </w:r>
          </w:p>
        </w:tc>
        <w:tc>
          <w:tcPr>
            <w:tcW w:w="5180" w:type="dxa"/>
            <w:tcBorders/>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Director</w:t>
            </w:r>
          </w:p>
        </w:tc>
        <w:tc>
          <w:tcPr>
            <w:tcW w:w="60" w:type="dxa"/>
            <w:tcBorders/>
            <w:vAlign w:val="center"/>
          </w:tcPr>
          <w:p>
            <w:pPr>
              <w:pStyle w:val="TableContents"/>
              <w:bidi w:val="0"/>
              <w:spacing w:before="0" w:after="283"/>
              <w:jc w:val="center"/>
              <w:rPr/>
            </w:pPr>
            <w:r>
              <w:rPr/>
              <w:t> </w:t>
            </w:r>
          </w:p>
        </w:tc>
        <w:tc>
          <w:tcPr>
            <w:tcW w:w="13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16, 2026</w:t>
            </w:r>
          </w:p>
        </w:tc>
      </w:tr>
      <w:tr>
        <w:trPr/>
        <w:tc>
          <w:tcPr>
            <w:tcW w:w="18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Garry E. Menzel</w:t>
            </w:r>
          </w:p>
        </w:tc>
        <w:tc>
          <w:tcPr>
            <w:tcW w:w="60" w:type="dxa"/>
            <w:tcBorders/>
            <w:vAlign w:val="center"/>
          </w:tcPr>
          <w:p>
            <w:pPr>
              <w:pStyle w:val="TableContents"/>
              <w:bidi w:val="0"/>
              <w:spacing w:before="0" w:after="283"/>
              <w:jc w:val="center"/>
              <w:rPr/>
            </w:pPr>
            <w:r>
              <w:rPr/>
              <w:t> </w:t>
            </w:r>
          </w:p>
        </w:tc>
        <w:tc>
          <w:tcPr>
            <w:tcW w:w="51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3" w:name="tm268810d1_ex5-1.htm"/>
      <w:bookmarkStart w:id="4" w:name="kstm268810d1_ex51"/>
      <w:bookmarkEnd w:id="3"/>
      <w:bookmarkEnd w:id="4"/>
      <w:r>
        <w:rPr/>
        <w:t> </w:t>
      </w:r>
      <w:r>
        <w:br w:type="page"/>
      </w:r>
    </w:p>
    <w:p>
      <w:pPr>
        <w:pStyle w:val="TextBody"/>
        <w:bidi w:val="0"/>
        <w:jc w:val="right"/>
        <w:rPr>
          <w:b/>
        </w:rPr>
      </w:pPr>
      <w:r>
        <w:rPr>
          <w:b/>
        </w:rPr>
        <w:t>Exhibit 5.1</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Black Diamond Therapeutics,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 First Street, 18th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Cambridge, Massachusetts 02142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w:t>
        <w:tab/>
        <w:t>     </w:t>
      </w:r>
      <w:r>
        <w:rPr>
          <w:rFonts w:ascii="Times New Roman;Times;Serif" w:hAnsi="Times New Roman;Times;Serif"/>
          <w:b w:val="false"/>
          <w:i w:val="false"/>
          <w:caps w:val="false"/>
          <w:smallCaps w:val="false"/>
          <w:sz w:val="20"/>
          <w:u w:val="single"/>
        </w:rPr>
        <w:t>Securities Being Registered under Registration Statement on 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your counsel in connection with your filing of a Registration Statement on Form S-8 (the “Registration Statement”) pursuant to the Securities Act of 1933, as amended (the “Securities Act”), on or about the date hereof relating to an aggregate of 2,611,886 shares (the “Shares”) of common stock, $0.0001 par value per share (“Common Stock”), of Black Diamond Therapeutics, Inc., a Delaware corporation (the “Company”), that may be issued pursuant to the Company’s 2020 Stock Option and Incentive Plan and 2020 Employee Stock Purchase Plan, as amended (collectively, the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opinion set forth below, we have assumed that, at the time the Shares are issued, the total number of then unissued Shares, when added to the number of shares of Common Stock issued, subscribed for, or otherwise committed to be issued, does not exceed the number of shares of Common Stock authorized by the Company’s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set forth below is limited to the Delaware General Corporation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we are of the opinion that the Shares have been duly authorized and, when delivered against payment therefor in accordance with the terms of the Plans,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and the opinion it contains shall be interpreted in accordance with the Core Opinion Principles as published in 74 Business Lawyer 815 (Summer 2019).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pStyle w:val="TextBody"/>
        <w:bidi w:val="0"/>
        <w:spacing w:before="0" w:after="0"/>
        <w:ind w:left="0" w:right="0" w:hanging="0"/>
        <w:jc w:val="left"/>
        <w:rPr>
          <w:caps w:val="false"/>
          <w:smallCaps w:val="false"/>
        </w:rPr>
      </w:pPr>
      <w:r>
        <w:rPr>
          <w:caps w:val="false"/>
          <w:smallCaps w:val="false"/>
        </w:rPr>
        <w:t> </w:t>
      </w:r>
    </w:p>
    <w:tbl>
      <w:tblPr>
        <w:tblW w:w="2585" w:type="dxa"/>
        <w:jc w:val="left"/>
        <w:tblInd w:w="0" w:type="dxa"/>
        <w:tblLayout w:type="fixed"/>
        <w:tblCellMar>
          <w:top w:w="0" w:type="dxa"/>
          <w:left w:w="0" w:type="dxa"/>
          <w:bottom w:w="0" w:type="dxa"/>
          <w:right w:w="0" w:type="dxa"/>
        </w:tblCellMar>
      </w:tblPr>
      <w:tblGrid>
        <w:gridCol w:w="75"/>
        <w:gridCol w:w="2510"/>
      </w:tblGrid>
      <w:tr>
        <w:trPr/>
        <w:tc>
          <w:tcPr>
            <w:tcW w:w="7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5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GOODWIN PROCTER LLP</w:t>
            </w:r>
          </w:p>
        </w:tc>
      </w:tr>
      <w:tr>
        <w:trPr/>
        <w:tc>
          <w:tcPr>
            <w:tcW w:w="7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GOODWIN PROCTER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5" w:name="tm268810d1_ex23-1.htm"/>
      <w:bookmarkStart w:id="6" w:name="kstm268810d1_ex231"/>
      <w:bookmarkEnd w:id="5"/>
      <w:bookmarkEnd w:id="6"/>
      <w:r>
        <w:rPr/>
        <w:t> </w:t>
      </w:r>
      <w:r>
        <w:br w:type="page"/>
      </w:r>
    </w:p>
    <w:p>
      <w:pPr>
        <w:pStyle w:val="TextBody"/>
        <w:bidi w:val="0"/>
        <w:jc w:val="right"/>
        <w:rPr>
          <w:b/>
        </w:rPr>
      </w:pPr>
      <w:r>
        <w:rPr>
          <w:b/>
        </w:rPr>
        <w:t>Exhibit 23.1</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S-8 of Black Diamond Therapeutics, Inc. of our report dated March 16, 2026 relating to the financial statements, which appears in Black Diamond Therapeutics, Inc.'s Annual Report on Form 10-K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Massachusetts</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 w:name="tm268810d1_ex-filingfees.htm"/>
      <w:bookmarkStart w:id="8" w:name="kstm268810d1_exfilingfees"/>
      <w:bookmarkStart w:id="9" w:name="tm268810d1_ex-filingfees.htm"/>
      <w:bookmarkStart w:id="10" w:name="kstm268810d1_exfilingfees"/>
      <w:bookmarkEnd w:id="9"/>
      <w:bookmarkEnd w:id="10"/>
      <w:r>
        <w:br w:type="page"/>
      </w:r>
    </w:p>
    <w:tbl>
      <w:tblPr>
        <w:tblW w:w="3830" w:type="dxa"/>
        <w:jc w:val="left"/>
        <w:tblInd w:w="0" w:type="dxa"/>
        <w:tblLayout w:type="fixed"/>
        <w:tblCellMar>
          <w:top w:w="28" w:type="dxa"/>
          <w:left w:w="28" w:type="dxa"/>
          <w:bottom w:w="28" w:type="dxa"/>
          <w:right w:w="28" w:type="dxa"/>
        </w:tblCellMar>
      </w:tblPr>
      <w:tblGrid>
        <w:gridCol w:w="3676"/>
        <w:gridCol w:w="154"/>
      </w:tblGrid>
      <w:tr>
        <w:trPr/>
        <w:tc>
          <w:tcPr>
            <w:tcW w:w="383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676"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676" w:type="dxa"/>
            <w:tcBorders/>
            <w:vAlign w:val="center"/>
          </w:tcPr>
          <w:p>
            <w:pPr>
              <w:pStyle w:val="TableContents"/>
              <w:bidi w:val="0"/>
              <w:spacing w:before="0" w:after="283"/>
              <w:jc w:val="left"/>
              <w:rPr>
                <w:b/>
              </w:rPr>
            </w:pPr>
            <w:r>
              <w:rPr>
                <w:b/>
              </w:rPr>
              <w:t xml:space="preserve">Black Diamond Therapeutics,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62"/>
        <w:gridCol w:w="1076"/>
        <w:gridCol w:w="1301"/>
        <w:gridCol w:w="1210"/>
        <w:gridCol w:w="1244"/>
        <w:gridCol w:w="1603"/>
        <w:gridCol w:w="1127"/>
        <w:gridCol w:w="1440"/>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6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7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301"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10"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44"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03"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40"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62" w:type="dxa"/>
            <w:tcBorders/>
            <w:shd w:fill="E7E7E2" w:val="clear"/>
            <w:vAlign w:val="center"/>
          </w:tcPr>
          <w:p>
            <w:pPr>
              <w:pStyle w:val="TableContents"/>
              <w:bidi w:val="0"/>
              <w:spacing w:before="0" w:after="283"/>
              <w:jc w:val="left"/>
              <w:rPr/>
            </w:pPr>
            <w:r>
              <w:rPr/>
              <w:t xml:space="preserve">Equity </w:t>
            </w:r>
          </w:p>
        </w:tc>
        <w:tc>
          <w:tcPr>
            <w:tcW w:w="1076" w:type="dxa"/>
            <w:tcBorders/>
            <w:shd w:fill="E7E7E2" w:val="clear"/>
            <w:vAlign w:val="center"/>
          </w:tcPr>
          <w:p>
            <w:pPr>
              <w:pStyle w:val="TableContents"/>
              <w:bidi w:val="0"/>
              <w:spacing w:before="0" w:after="283"/>
              <w:jc w:val="left"/>
              <w:rPr/>
            </w:pPr>
            <w:r>
              <w:rPr/>
              <w:t xml:space="preserve">Common Stock, $0.0001 par value per share </w:t>
            </w:r>
          </w:p>
        </w:tc>
        <w:tc>
          <w:tcPr>
            <w:tcW w:w="1301" w:type="dxa"/>
            <w:tcBorders/>
            <w:shd w:fill="E7E7E2" w:val="clear"/>
            <w:vAlign w:val="center"/>
          </w:tcPr>
          <w:p>
            <w:pPr>
              <w:pStyle w:val="TableContents"/>
              <w:bidi w:val="0"/>
              <w:spacing w:before="0" w:after="283"/>
              <w:jc w:val="center"/>
              <w:rPr/>
            </w:pPr>
            <w:r>
              <w:rPr/>
              <w:t xml:space="preserve">457(a) </w:t>
            </w:r>
          </w:p>
        </w:tc>
        <w:tc>
          <w:tcPr>
            <w:tcW w:w="1210" w:type="dxa"/>
            <w:tcBorders/>
            <w:shd w:fill="E7E7E2" w:val="clear"/>
            <w:vAlign w:val="center"/>
          </w:tcPr>
          <w:p>
            <w:pPr>
              <w:pStyle w:val="TableContents"/>
              <w:bidi w:val="0"/>
              <w:spacing w:before="0" w:after="283"/>
              <w:jc w:val="right"/>
              <w:rPr/>
            </w:pPr>
            <w:r>
              <w:rPr/>
              <w:t xml:space="preserve">2,285,522 </w:t>
            </w:r>
          </w:p>
        </w:tc>
        <w:tc>
          <w:tcPr>
            <w:tcW w:w="1244" w:type="dxa"/>
            <w:tcBorders/>
            <w:shd w:fill="E7E7E2" w:val="clear"/>
            <w:vAlign w:val="center"/>
          </w:tcPr>
          <w:p>
            <w:pPr>
              <w:pStyle w:val="TableContents"/>
              <w:bidi w:val="0"/>
              <w:spacing w:before="0" w:after="283"/>
              <w:jc w:val="right"/>
              <w:rPr/>
            </w:pPr>
            <w:r>
              <w:rPr/>
              <w:t xml:space="preserve">$ 2.19 </w:t>
            </w:r>
          </w:p>
        </w:tc>
        <w:tc>
          <w:tcPr>
            <w:tcW w:w="1603" w:type="dxa"/>
            <w:tcBorders/>
            <w:shd w:fill="E7E7E2" w:val="clear"/>
            <w:vAlign w:val="center"/>
          </w:tcPr>
          <w:p>
            <w:pPr>
              <w:pStyle w:val="TableContents"/>
              <w:bidi w:val="0"/>
              <w:spacing w:before="0" w:after="283"/>
              <w:jc w:val="right"/>
              <w:rPr/>
            </w:pPr>
            <w:r>
              <w:rPr/>
              <w:t xml:space="preserve">$ 5,005,293.18 </w:t>
            </w:r>
          </w:p>
        </w:tc>
        <w:tc>
          <w:tcPr>
            <w:tcW w:w="1127" w:type="dxa"/>
            <w:tcBorders/>
            <w:shd w:fill="E7E7E2" w:val="clear"/>
            <w:vAlign w:val="center"/>
          </w:tcPr>
          <w:p>
            <w:pPr>
              <w:pStyle w:val="TableContents"/>
              <w:bidi w:val="0"/>
              <w:spacing w:before="0" w:after="283"/>
              <w:jc w:val="right"/>
              <w:rPr/>
            </w:pPr>
            <w:r>
              <w:rPr/>
              <w:t xml:space="preserve">0.0001381 </w:t>
            </w:r>
          </w:p>
        </w:tc>
        <w:tc>
          <w:tcPr>
            <w:tcW w:w="1440" w:type="dxa"/>
            <w:tcBorders/>
            <w:shd w:fill="E7E7E2" w:val="clear"/>
            <w:vAlign w:val="center"/>
          </w:tcPr>
          <w:p>
            <w:pPr>
              <w:pStyle w:val="TableContents"/>
              <w:bidi w:val="0"/>
              <w:spacing w:before="0" w:after="283"/>
              <w:jc w:val="right"/>
              <w:rPr/>
            </w:pPr>
            <w:r>
              <w:rPr/>
              <w:t xml:space="preserve">$ 691.23 </w:t>
            </w:r>
          </w:p>
        </w:tc>
      </w:tr>
      <w:tr>
        <w:trPr/>
        <w:tc>
          <w:tcPr>
            <w:tcW w:w="242" w:type="dxa"/>
            <w:tcBorders/>
            <w:shd w:fill="E7E7E2" w:val="clear"/>
            <w:vAlign w:val="center"/>
          </w:tcPr>
          <w:p>
            <w:pPr>
              <w:pStyle w:val="TableContents"/>
              <w:bidi w:val="0"/>
              <w:spacing w:before="0" w:after="283"/>
              <w:jc w:val="center"/>
              <w:rPr/>
            </w:pPr>
            <w:r>
              <w:rPr/>
              <w:t xml:space="preserve">2 </w:t>
            </w:r>
          </w:p>
        </w:tc>
        <w:tc>
          <w:tcPr>
            <w:tcW w:w="962" w:type="dxa"/>
            <w:tcBorders/>
            <w:shd w:fill="E7E7E2" w:val="clear"/>
            <w:vAlign w:val="center"/>
          </w:tcPr>
          <w:p>
            <w:pPr>
              <w:pStyle w:val="TableContents"/>
              <w:bidi w:val="0"/>
              <w:spacing w:before="0" w:after="283"/>
              <w:jc w:val="left"/>
              <w:rPr/>
            </w:pPr>
            <w:r>
              <w:rPr/>
              <w:t xml:space="preserve">Equity </w:t>
            </w:r>
          </w:p>
        </w:tc>
        <w:tc>
          <w:tcPr>
            <w:tcW w:w="1076" w:type="dxa"/>
            <w:tcBorders/>
            <w:shd w:fill="E7E7E2" w:val="clear"/>
            <w:vAlign w:val="center"/>
          </w:tcPr>
          <w:p>
            <w:pPr>
              <w:pStyle w:val="TableContents"/>
              <w:bidi w:val="0"/>
              <w:spacing w:before="0" w:after="283"/>
              <w:jc w:val="left"/>
              <w:rPr/>
            </w:pPr>
            <w:r>
              <w:rPr/>
              <w:t xml:space="preserve">Common Stock, $0.0001 par value per share </w:t>
            </w:r>
          </w:p>
        </w:tc>
        <w:tc>
          <w:tcPr>
            <w:tcW w:w="1301" w:type="dxa"/>
            <w:tcBorders/>
            <w:shd w:fill="E7E7E2" w:val="clear"/>
            <w:vAlign w:val="center"/>
          </w:tcPr>
          <w:p>
            <w:pPr>
              <w:pStyle w:val="TableContents"/>
              <w:bidi w:val="0"/>
              <w:spacing w:before="0" w:after="283"/>
              <w:jc w:val="center"/>
              <w:rPr/>
            </w:pPr>
            <w:r>
              <w:rPr/>
              <w:t xml:space="preserve">457(a) </w:t>
            </w:r>
          </w:p>
        </w:tc>
        <w:tc>
          <w:tcPr>
            <w:tcW w:w="1210" w:type="dxa"/>
            <w:tcBorders/>
            <w:shd w:fill="E7E7E2" w:val="clear"/>
            <w:vAlign w:val="center"/>
          </w:tcPr>
          <w:p>
            <w:pPr>
              <w:pStyle w:val="TableContents"/>
              <w:bidi w:val="0"/>
              <w:spacing w:before="0" w:after="283"/>
              <w:jc w:val="right"/>
              <w:rPr/>
            </w:pPr>
            <w:r>
              <w:rPr/>
              <w:t xml:space="preserve">326,364 </w:t>
            </w:r>
          </w:p>
        </w:tc>
        <w:tc>
          <w:tcPr>
            <w:tcW w:w="1244" w:type="dxa"/>
            <w:tcBorders/>
            <w:shd w:fill="E7E7E2" w:val="clear"/>
            <w:vAlign w:val="center"/>
          </w:tcPr>
          <w:p>
            <w:pPr>
              <w:pStyle w:val="TableContents"/>
              <w:bidi w:val="0"/>
              <w:spacing w:before="0" w:after="283"/>
              <w:jc w:val="right"/>
              <w:rPr/>
            </w:pPr>
            <w:r>
              <w:rPr/>
              <w:t xml:space="preserve">$ 1.86 </w:t>
            </w:r>
          </w:p>
        </w:tc>
        <w:tc>
          <w:tcPr>
            <w:tcW w:w="1603" w:type="dxa"/>
            <w:tcBorders/>
            <w:shd w:fill="E7E7E2" w:val="clear"/>
            <w:vAlign w:val="center"/>
          </w:tcPr>
          <w:p>
            <w:pPr>
              <w:pStyle w:val="TableContents"/>
              <w:bidi w:val="0"/>
              <w:spacing w:before="0" w:after="283"/>
              <w:jc w:val="right"/>
              <w:rPr/>
            </w:pPr>
            <w:r>
              <w:rPr/>
              <w:t xml:space="preserve">$ 607,037.04 </w:t>
            </w:r>
          </w:p>
        </w:tc>
        <w:tc>
          <w:tcPr>
            <w:tcW w:w="1127" w:type="dxa"/>
            <w:tcBorders/>
            <w:shd w:fill="E7E7E2" w:val="clear"/>
            <w:vAlign w:val="center"/>
          </w:tcPr>
          <w:p>
            <w:pPr>
              <w:pStyle w:val="TableContents"/>
              <w:bidi w:val="0"/>
              <w:spacing w:before="0" w:after="283"/>
              <w:jc w:val="right"/>
              <w:rPr/>
            </w:pPr>
            <w:r>
              <w:rPr/>
              <w:t xml:space="preserve">0.0001381 </w:t>
            </w:r>
          </w:p>
        </w:tc>
        <w:tc>
          <w:tcPr>
            <w:tcW w:w="1440" w:type="dxa"/>
            <w:tcBorders/>
            <w:shd w:fill="E7E7E2" w:val="clear"/>
            <w:vAlign w:val="center"/>
          </w:tcPr>
          <w:p>
            <w:pPr>
              <w:pStyle w:val="TableContents"/>
              <w:bidi w:val="0"/>
              <w:spacing w:before="0" w:after="283"/>
              <w:jc w:val="right"/>
              <w:rPr/>
            </w:pPr>
            <w:r>
              <w:rPr/>
              <w:t xml:space="preserve">$ 83.83 </w:t>
            </w:r>
          </w:p>
        </w:tc>
      </w:tr>
      <w:tr>
        <w:trPr/>
        <w:tc>
          <w:tcPr>
            <w:tcW w:w="4791" w:type="dxa"/>
            <w:gridSpan w:val="5"/>
            <w:tcBorders/>
            <w:vAlign w:val="center"/>
          </w:tcPr>
          <w:p>
            <w:pPr>
              <w:pStyle w:val="TableContents"/>
              <w:bidi w:val="0"/>
              <w:spacing w:before="0" w:after="0"/>
              <w:ind w:left="0" w:right="0" w:hanging="0"/>
              <w:jc w:val="right"/>
              <w:rPr/>
            </w:pPr>
            <w:r>
              <w:rPr/>
              <w:t>Total Offering Amounts:</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0"/>
              <w:ind w:left="0" w:right="0" w:hanging="0"/>
              <w:jc w:val="right"/>
              <w:rPr/>
            </w:pPr>
            <w:bookmarkStart w:id="11" w:name="MaxAggtOfferingPrice"/>
            <w:bookmarkEnd w:id="11"/>
            <w:r>
              <w:rPr/>
              <w:t xml:space="preserve">$ 5,612,330.22 </w:t>
            </w:r>
          </w:p>
        </w:tc>
        <w:tc>
          <w:tcPr>
            <w:tcW w:w="1127" w:type="dxa"/>
            <w:tcBorders/>
            <w:vAlign w:val="center"/>
          </w:tcPr>
          <w:p>
            <w:pPr>
              <w:pStyle w:val="TableContents"/>
              <w:bidi w:val="0"/>
              <w:spacing w:before="0" w:after="283"/>
              <w:jc w:val="left"/>
              <w:rPr>
                <w:sz w:val="4"/>
                <w:szCs w:val="4"/>
              </w:rPr>
            </w:pPr>
            <w:r>
              <w:rPr>
                <w:sz w:val="4"/>
                <w:szCs w:val="4"/>
              </w:rPr>
            </w:r>
          </w:p>
        </w:tc>
        <w:tc>
          <w:tcPr>
            <w:tcW w:w="1440"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$ 775.06 </w:t>
            </w:r>
          </w:p>
        </w:tc>
      </w:tr>
      <w:tr>
        <w:trPr/>
        <w:tc>
          <w:tcPr>
            <w:tcW w:w="4791" w:type="dxa"/>
            <w:gridSpan w:val="5"/>
            <w:tcBorders/>
            <w:vAlign w:val="center"/>
          </w:tcPr>
          <w:p>
            <w:pPr>
              <w:pStyle w:val="TableContents"/>
              <w:bidi w:val="0"/>
              <w:spacing w:before="0" w:after="0"/>
              <w:ind w:left="0" w:right="0" w:hanging="0"/>
              <w:jc w:val="right"/>
              <w:rPr/>
            </w:pPr>
            <w:r>
              <w:rPr/>
              <w:t xml:space="preserve">Total Fee Offsets: </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791" w:type="dxa"/>
            <w:gridSpan w:val="5"/>
            <w:tcBorders/>
            <w:vAlign w:val="center"/>
          </w:tcPr>
          <w:p>
            <w:pPr>
              <w:pStyle w:val="TableContents"/>
              <w:bidi w:val="0"/>
              <w:spacing w:before="0" w:after="0"/>
              <w:ind w:left="0" w:right="0" w:hanging="0"/>
              <w:jc w:val="right"/>
              <w:rPr/>
            </w:pPr>
            <w:r>
              <w:rPr/>
              <w:t xml:space="preserve">Net Fee Due: </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0"/>
              <w:ind w:left="0" w:right="0" w:hanging="0"/>
              <w:jc w:val="right"/>
              <w:rPr/>
            </w:pPr>
            <w:bookmarkStart w:id="14" w:name="NetFeeAmt"/>
            <w:bookmarkEnd w:id="14"/>
            <w:r>
              <w:rPr/>
              <w:t xml:space="preserve">$ 775.06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294"/>
        <w:gridCol w:w="8713"/>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Pursuant to Rule 416 under the Securities Act of 1933, as amended (the "Securities Act"), this registration statement on Form S-8 (this "Registration Statement") shall also cover any additional shares of common stock, $0.0001 par value per share (the "Common Stock"), of Black Diamond Therapeutics, Inc. (the "Registrant"), which become issuable under the Registrant's 2020 Stock Option and Incentive Plan (the "2020 Plan"), by reason of any stock dividend, stock split, recapitalization or any other similar transaction effected without the receipt of consideration which results in an increase in the number of outstanding shares of Common Stock . Pursuant to Rule 416(c) under the Securities Act, this Registration Statement shall also cover an indeterminate amount of interests to be offered or sold pursuant to the employee benefit plans described herein. The amount registered represents an increase of 2,285,522 shares of Common Stock to the number of shares available for issuance under the 2020 Plan, effective January 1, 2026. Shares available for issuance under the 2020 Plan were previously registered on registration statements on Form S-8 (File No. 333-236170, File No. 333-254686, File No. 333-263648, File No. 333-270393, File No. 333-277834, and File No. 333-285596) filed with the Securities and Exchange Commission (the "Commission") on January 30, 2020, March 25, 2021, March 17, 2022, March 9, 2023, March 12, 2024, and March 6, 2025, respectively. The price of $2.19 per share, which is the average of the high and low sales prices of the Common Stock of the Registrant as quoted on the Nasdaq Global Select Market on March 10, 2026, is set forth solely for the purpose of calculating the registration fee pursuant to Rule 457(c) and (h) of the Securities Act. </w:t>
            </w:r>
          </w:p>
        </w:tc>
      </w:tr>
      <w:tr>
        <w:trPr/>
        <w:tc>
          <w:tcPr>
            <w:tcW w:w="1492" w:type="dxa"/>
            <w:gridSpan w:val="2"/>
            <w:tcBorders/>
            <w:vAlign w:val="center"/>
          </w:tcPr>
          <w:p>
            <w:pPr>
              <w:pStyle w:val="HorizontalLine"/>
              <w:pBdr>
                <w:bottom w:val="double" w:sz="2" w:space="0" w:color="808080"/>
              </w:pBdr>
              <w:bidi w:val="0"/>
              <w:spacing w:before="0" w:after="283"/>
              <w:jc w:val="left"/>
              <w:rPr/>
            </w:pPr>
            <w:r>
              <w:rPr/>
            </w:r>
          </w:p>
        </w:tc>
        <w:tc>
          <w:tcPr>
            <w:tcW w:w="8713"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7" w:type="dxa"/>
            <w:gridSpan w:val="2"/>
            <w:tcBorders/>
            <w:vAlign w:val="center"/>
          </w:tcPr>
          <w:p>
            <w:pPr>
              <w:pStyle w:val="TableContents"/>
              <w:bidi w:val="0"/>
              <w:spacing w:before="0" w:after="283"/>
              <w:jc w:val="left"/>
              <w:rPr/>
            </w:pPr>
            <w:r>
              <w:rPr/>
              <w:t xml:space="preserve">Pursuant to Rule 416 under the Securities Act, this Registration Statement shall also cover any additional shares of Common Stock of the Registrant, which become issuable under the 2020 Employee Stock Purchase Plan, as amended (the "2020 ESPP"), by reason of any stock dividend, stock split, recapitalization or any other similar transaction effected without the receipt of consideration which results in an increase in the number of outstanding shares of Common Stock. Pursuant to Rule 416(c) under the Securities Act, this Registration Statement shall also cover an indeterminate amount of interests to be offered or sold pursuant to the employee benefit plans described herein. The amount registered represents an increase of 326,364 shares of Common Stock to the number of shares available for issuance under the 2020 ESPP, effective January 1, 2026. Shares available for issuance under the 2020 ESPP were previously registered on registration statements on Form S-8 (File No. 333-236170, File No. 333-254686, File No. 333-263648, File No. 333-270393, File No. 333-277834, and File No. 333-285596) filed with the Commission on January 30, 2020, March 25, 2021, March 17, 2022, March 9, 2023, March 12, 2024, and March 6, 2025, respectively. The proposed maximum offering price per unit is estimated solely for the purpose of calculating the registration fee pursuant to Rule 457(c) and (h) of the Securities Act, and based on 85% of the average of the high and low sales price of the Registrant's Common Stock , as quoted on the Nasdaq Global Select Market, on March 10, 2026. Pursuant to the 2020 ESPP, the purchase price of the shares of Common Stock reserved for issuance thereunder will be 85% of the fair market value per share of Common Stock on the first trading day of the applicable offering period or on the exercise date of the applicable offering period, whichever is less. </w:t>
            </w:r>
          </w:p>
        </w:tc>
      </w:tr>
      <w:tr>
        <w:trPr/>
        <w:tc>
          <w:tcPr>
            <w:tcW w:w="1492" w:type="dxa"/>
            <w:gridSpan w:val="2"/>
            <w:tcBorders/>
            <w:vAlign w:val="center"/>
          </w:tcPr>
          <w:p>
            <w:pPr>
              <w:pStyle w:val="HorizontalLine"/>
              <w:pBdr>
                <w:bottom w:val="double" w:sz="2" w:space="0" w:color="808080"/>
              </w:pBdr>
              <w:bidi w:val="0"/>
              <w:spacing w:before="0" w:after="283"/>
              <w:jc w:val="left"/>
              <w:rPr/>
            </w:pPr>
            <w:r>
              <w:rPr/>
            </w:r>
          </w:p>
        </w:tc>
        <w:tc>
          <w:tcPr>
            <w:tcW w:w="8713"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2107" w:type="dxa"/>
        <w:jc w:val="left"/>
        <w:tblInd w:w="0" w:type="dxa"/>
        <w:tblLayout w:type="fixed"/>
        <w:tblCellMar>
          <w:top w:w="28" w:type="dxa"/>
          <w:left w:w="28" w:type="dxa"/>
          <w:bottom w:w="28" w:type="dxa"/>
          <w:right w:w="28" w:type="dxa"/>
        </w:tblCellMar>
      </w:tblPr>
      <w:tblGrid>
        <w:gridCol w:w="871"/>
        <w:gridCol w:w="346"/>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346"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01541/000119312520019730/d878152ds8.htm" TargetMode="External"/><Relationship Id="rId3" Type="http://schemas.openxmlformats.org/officeDocument/2006/relationships/hyperlink" Target="https://www.sec.gov/Archives/edgar/data/1701541/000119312521093400/d46005ds8.htm" TargetMode="External"/><Relationship Id="rId4" Type="http://schemas.openxmlformats.org/officeDocument/2006/relationships/hyperlink" Target="https://www.sec.gov/Archives/edgar/data/1701541/000110465922035067/tm229351d1_s8.htm" TargetMode="External"/><Relationship Id="rId5" Type="http://schemas.openxmlformats.org/officeDocument/2006/relationships/hyperlink" Target="https://www.sec.gov/Archives/edgar/data/1701541/000110465923030569/tm238494d1_s8.htm" TargetMode="External"/><Relationship Id="rId6" Type="http://schemas.openxmlformats.org/officeDocument/2006/relationships/hyperlink" Target="https://www.sec.gov/Archives/edgar/data/1701541/000110465924033254/tm248515d1_s8.htm" TargetMode="External"/><Relationship Id="rId7" Type="http://schemas.openxmlformats.org/officeDocument/2006/relationships/hyperlink" Target="https://www.sec.gov/Archives/edgar/data/1701541/000110465925021373/tm258269d1_s8.htm" TargetMode="External"/><Relationship Id="rId8" Type="http://schemas.openxmlformats.org/officeDocument/2006/relationships/hyperlink" Target="https://www.sec.gov/Archives/edgar/data/1701541/000119312520019730/d878152ds8.htm" TargetMode="External"/><Relationship Id="rId9" Type="http://schemas.openxmlformats.org/officeDocument/2006/relationships/hyperlink" Target="https://www.sec.gov/Archives/edgar/data/1701541/000119312521093400/d46005ds8.htm" TargetMode="External"/><Relationship Id="rId10" Type="http://schemas.openxmlformats.org/officeDocument/2006/relationships/hyperlink" Target="https://www.sec.gov/Archives/edgar/data/1701541/000110465922035067/tm229351d1_s8.htm" TargetMode="External"/><Relationship Id="rId11" Type="http://schemas.openxmlformats.org/officeDocument/2006/relationships/hyperlink" Target="https://www.sec.gov/Archives/edgar/data/1701541/000110465923030569/tm238494d1_s8.htm" TargetMode="External"/><Relationship Id="rId12" Type="http://schemas.openxmlformats.org/officeDocument/2006/relationships/hyperlink" Target="https://www.sec.gov/Archives/edgar/data/1701541/000110465924033254/tm248515d1_s8.htm" TargetMode="External"/><Relationship Id="rId13" Type="http://schemas.openxmlformats.org/officeDocument/2006/relationships/hyperlink" Target="https://www.sec.gov/Archives/edgar/data/1701541/000110465925021373/tm258269d1_s8.htm" TargetMode="External"/><Relationship Id="rId14" Type="http://schemas.openxmlformats.org/officeDocument/2006/relationships/hyperlink" Target="https://www.sec.gov/Archives/edgar/data/1701541/000119312520023025/d857498dex31.htm" TargetMode="External"/><Relationship Id="rId15" Type="http://schemas.openxmlformats.org/officeDocument/2006/relationships/hyperlink" Target="https://www.sec.gov/Archives/edgar/data/1701541/000119312520023025/d857498dex31.htm" TargetMode="External"/><Relationship Id="rId16" Type="http://schemas.openxmlformats.org/officeDocument/2006/relationships/hyperlink" Target="https://www.sec.gov/Archives/edgar/data/1701541/000110465924069070/tm2416636d1_ex3-1.htm" TargetMode="External"/><Relationship Id="rId17" Type="http://schemas.openxmlformats.org/officeDocument/2006/relationships/hyperlink" Target="https://www.sec.gov/Archives/edgar/data/1701541/000110465924069070/tm2416636d1_ex3-1.htm" TargetMode="External"/><Relationship Id="rId18" Type="http://schemas.openxmlformats.org/officeDocument/2006/relationships/hyperlink" Target="https://www.sec.gov/Archives/edgar/data/1701541/000170154124000011/exhibit32_secondarbylawsgp.htm" TargetMode="External"/><Relationship Id="rId19" Type="http://schemas.openxmlformats.org/officeDocument/2006/relationships/hyperlink" Target="https://www.sec.gov/Archives/edgar/data/1701541/000170154124000011/exhibit32_secondarbylawsgp.htm" TargetMode="External"/><Relationship Id="rId20" Type="http://schemas.openxmlformats.org/officeDocument/2006/relationships/hyperlink" Target="https://www.sec.gov/Archives/edgar/data/1701541/000119312520001336/d758790dex41.htm" TargetMode="External"/><Relationship Id="rId21" Type="http://schemas.openxmlformats.org/officeDocument/2006/relationships/hyperlink" Target="https://www.sec.gov/Archives/edgar/data/1701541/000119312520001336/d758790dex41.htm" TargetMode="External"/><Relationship Id="rId22" Type="http://schemas.openxmlformats.org/officeDocument/2006/relationships/hyperlink" Target="https://www.sec.gov/Archives/edgar/data/1701541/000119312520001336/d758790dex43.htm" TargetMode="External"/><Relationship Id="rId23" Type="http://schemas.openxmlformats.org/officeDocument/2006/relationships/hyperlink" Target="https://www.sec.gov/Archives/edgar/data/1701541/000119312520001336/d758790dex43.htm" TargetMode="External"/><Relationship Id="rId24" Type="http://schemas.openxmlformats.org/officeDocument/2006/relationships/hyperlink" Target="https://www.sec.gov/Archives/edgar/data/1701541/000119312520010637/d758790dex102.htm" TargetMode="External"/><Relationship Id="rId25" Type="http://schemas.openxmlformats.org/officeDocument/2006/relationships/hyperlink" Target="https://www.sec.gov/Archives/edgar/data/1701541/000119312520010637/d758790dex102.htm" TargetMode="External"/><Relationship Id="rId26" Type="http://schemas.openxmlformats.org/officeDocument/2006/relationships/hyperlink" Target="https://www.sec.gov/Archives/edgar/data/1701541/000170154124000011/exhibit104_bdtx-2020employ.htm" TargetMode="External"/><Relationship Id="rId27" Type="http://schemas.openxmlformats.org/officeDocument/2006/relationships/hyperlink" Target="https://www.sec.gov/Archives/edgar/data/1701541/000170154124000011/exhibit104_bdtx-2020employ.htm"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2740</Words>
  <Characters>14570</Characters>
  <CharactersWithSpaces>17407</CharactersWithSpaces>
  <Paragraphs>462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