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4"/>
          <w:szCs w:val="24"/>
          <w:color w:val="auto"/>
        </w:rPr>
      </w:pPr>
    </w:p>
    <w:p>
      <w:pPr>
        <w:spacing w:after="0" w:line="3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w:t>
      </w:r>
    </w:p>
    <w:p>
      <w:pPr>
        <w:spacing w:after="0" w:line="33"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5"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TRANSITION PERIOD FROM _ TO _</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COMMISSION FILE NUMBER 001-38501</w:t>
      </w:r>
    </w:p>
    <w:p>
      <w:pPr>
        <w:spacing w:after="0" w:line="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BLACK DIAMOND THERAPEUTICS,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w:t>
      </w:r>
    </w:p>
    <w:p>
      <w:pPr>
        <w:spacing w:after="0" w:line="41" w:lineRule="exact"/>
        <w:rPr>
          <w:sz w:val="24"/>
          <w:szCs w:val="24"/>
          <w:color w:val="auto"/>
        </w:rPr>
      </w:pPr>
    </w:p>
    <w:tbl>
      <w:tblPr>
        <w:tblLayout w:type="fixed"/>
        <w:tblInd w:w="1480" w:type="dxa"/>
        <w:tblCellMar>
          <w:top w:w="0" w:type="dxa"/>
          <w:left w:w="0" w:type="dxa"/>
          <w:bottom w:w="0" w:type="dxa"/>
          <w:right w:w="0" w:type="dxa"/>
        </w:tblCellMar>
      </w:tblPr>
      <w:tr>
        <w:trPr>
          <w:trHeight w:val="210"/>
        </w:trPr>
        <w:tc>
          <w:tcPr>
            <w:tcW w:w="6140" w:type="dxa"/>
            <w:vAlign w:val="bottom"/>
          </w:tcPr>
          <w:p>
            <w:pPr>
              <w:jc w:val="center"/>
              <w:ind w:right="3399"/>
              <w:spacing w:after="0"/>
              <w:rPr>
                <w:sz w:val="20"/>
                <w:szCs w:val="20"/>
                <w:color w:val="auto"/>
              </w:rPr>
            </w:pPr>
            <w:r>
              <w:rPr>
                <w:rFonts w:ascii="Times New Roman" w:cs="Times New Roman" w:eastAsia="Times New Roman" w:hAnsi="Times New Roman"/>
                <w:sz w:val="16"/>
                <w:szCs w:val="16"/>
                <w:color w:val="auto"/>
              </w:rPr>
              <w:t>Delaware</w:t>
            </w:r>
          </w:p>
        </w:tc>
        <w:tc>
          <w:tcPr>
            <w:tcW w:w="1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81-4254660</w:t>
            </w:r>
          </w:p>
        </w:tc>
      </w:tr>
      <w:tr>
        <w:trPr>
          <w:trHeight w:val="270"/>
        </w:trPr>
        <w:tc>
          <w:tcPr>
            <w:tcW w:w="6140" w:type="dxa"/>
            <w:vAlign w:val="bottom"/>
          </w:tcPr>
          <w:p>
            <w:pPr>
              <w:jc w:val="center"/>
              <w:ind w:right="337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70"/>
        </w:trPr>
        <w:tc>
          <w:tcPr>
            <w:tcW w:w="6140" w:type="dxa"/>
            <w:vAlign w:val="bottom"/>
          </w:tcPr>
          <w:p>
            <w:pPr>
              <w:jc w:val="center"/>
              <w:ind w:right="337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310"/>
        </w:trPr>
        <w:tc>
          <w:tcPr>
            <w:tcW w:w="6140" w:type="dxa"/>
            <w:vAlign w:val="bottom"/>
          </w:tcPr>
          <w:p>
            <w:pPr>
              <w:jc w:val="center"/>
              <w:ind w:right="3379"/>
              <w:spacing w:after="0"/>
              <w:rPr>
                <w:sz w:val="20"/>
                <w:szCs w:val="20"/>
                <w:color w:val="auto"/>
              </w:rPr>
            </w:pPr>
            <w:r>
              <w:rPr>
                <w:rFonts w:ascii="Times New Roman" w:cs="Times New Roman" w:eastAsia="Times New Roman" w:hAnsi="Times New Roman"/>
                <w:sz w:val="16"/>
                <w:szCs w:val="16"/>
                <w:color w:val="auto"/>
              </w:rPr>
              <w:t>245 First Street, 18th Floor</w:t>
            </w:r>
          </w:p>
        </w:tc>
        <w:tc>
          <w:tcPr>
            <w:tcW w:w="1440" w:type="dxa"/>
            <w:vAlign w:val="bottom"/>
          </w:tcPr>
          <w:p>
            <w:pPr>
              <w:spacing w:after="0"/>
              <w:rPr>
                <w:sz w:val="24"/>
                <w:szCs w:val="24"/>
                <w:color w:val="auto"/>
              </w:rPr>
            </w:pPr>
          </w:p>
        </w:tc>
      </w:tr>
      <w:tr>
        <w:trPr>
          <w:trHeight w:val="216"/>
        </w:trPr>
        <w:tc>
          <w:tcPr>
            <w:tcW w:w="6140" w:type="dxa"/>
            <w:vAlign w:val="bottom"/>
          </w:tcPr>
          <w:p>
            <w:pPr>
              <w:jc w:val="center"/>
              <w:ind w:right="3399"/>
              <w:spacing w:after="0"/>
              <w:rPr>
                <w:sz w:val="20"/>
                <w:szCs w:val="20"/>
                <w:color w:val="auto"/>
              </w:rPr>
            </w:pPr>
            <w:r>
              <w:rPr>
                <w:rFonts w:ascii="Times New Roman" w:cs="Times New Roman" w:eastAsia="Times New Roman" w:hAnsi="Times New Roman"/>
                <w:sz w:val="16"/>
                <w:szCs w:val="16"/>
                <w:color w:val="auto"/>
              </w:rPr>
              <w:t>Cambridge, Massachusetts</w:t>
            </w:r>
          </w:p>
        </w:tc>
        <w:tc>
          <w:tcPr>
            <w:tcW w:w="144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02142</w:t>
            </w:r>
          </w:p>
        </w:tc>
      </w:tr>
      <w:tr>
        <w:trPr>
          <w:trHeight w:val="230"/>
        </w:trPr>
        <w:tc>
          <w:tcPr>
            <w:tcW w:w="6140" w:type="dxa"/>
            <w:vAlign w:val="bottom"/>
          </w:tcPr>
          <w:p>
            <w:pPr>
              <w:jc w:val="center"/>
              <w:ind w:right="33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4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r>
        <w:trPr>
          <w:trHeight w:val="351"/>
        </w:trPr>
        <w:tc>
          <w:tcPr>
            <w:tcW w:w="6140" w:type="dxa"/>
            <w:vAlign w:val="bottom"/>
          </w:tcPr>
          <w:p>
            <w:pPr>
              <w:jc w:val="right"/>
              <w:ind w:right="1399"/>
              <w:spacing w:after="0"/>
              <w:rPr>
                <w:sz w:val="20"/>
                <w:szCs w:val="20"/>
                <w:color w:val="auto"/>
              </w:rPr>
            </w:pPr>
            <w:r>
              <w:rPr>
                <w:rFonts w:ascii="Times New Roman" w:cs="Times New Roman" w:eastAsia="Times New Roman" w:hAnsi="Times New Roman"/>
                <w:sz w:val="16"/>
                <w:szCs w:val="16"/>
                <w:color w:val="auto"/>
              </w:rPr>
              <w:t>(617) 252-0848</w:t>
            </w:r>
          </w:p>
        </w:tc>
        <w:tc>
          <w:tcPr>
            <w:tcW w:w="1440" w:type="dxa"/>
            <w:vAlign w:val="bottom"/>
          </w:tcPr>
          <w:p>
            <w:pPr>
              <w:spacing w:after="0"/>
              <w:rPr>
                <w:sz w:val="24"/>
                <w:szCs w:val="24"/>
                <w:color w:val="auto"/>
              </w:rPr>
            </w:pPr>
          </w:p>
        </w:tc>
      </w:tr>
      <w:tr>
        <w:trPr>
          <w:trHeight w:val="229"/>
        </w:trPr>
        <w:tc>
          <w:tcPr>
            <w:tcW w:w="6140" w:type="dxa"/>
            <w:vAlign w:val="bottom"/>
          </w:tcPr>
          <w:p>
            <w:pPr>
              <w:jc w:val="center"/>
              <w:ind w:left="207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4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1D1E"/>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BDTX</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___________________________________________</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ectPr>
          <w:pgSz w:w="11900" w:h="16838" w:orient="portrait"/>
          <w:cols w:equalWidth="0" w:num="1">
            <w:col w:w="11260"/>
          </w:cols>
          <w:pgMar w:left="320" w:top="360" w:right="319" w:bottom="1440" w:gutter="0" w:footer="0" w:header="0"/>
        </w:sectPr>
      </w:pP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Yes</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8460" w:space="160"/>
            <w:col w:w="280" w:space="80"/>
            <w:col w:w="160" w:space="180"/>
            <w:col w:w="220" w:space="100"/>
            <w:col w:w="1620"/>
          </w:cols>
          <w:pgMar w:left="320" w:top="360" w:right="31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5">
            <w:col w:w="8620" w:space="180"/>
            <w:col w:w="260" w:space="80"/>
            <w:col w:w="160" w:space="180"/>
            <w:col w:w="220" w:space="100"/>
            <w:col w:w="1460"/>
          </w:cols>
          <w:pgMar w:left="320" w:top="360" w:right="319" w:bottom="1440" w:gutter="0" w:footer="0" w:header="0"/>
          <w:type w:val="continuous"/>
        </w:sect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63"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5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2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73"/>
        </w:trPr>
        <w:tc>
          <w:tcPr>
            <w:tcW w:w="19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1" w:lineRule="exact"/>
        <w:rPr>
          <w:sz w:val="20"/>
          <w:szCs w:val="20"/>
          <w:color w:val="auto"/>
        </w:rPr>
      </w:pPr>
    </w:p>
    <w:p>
      <w:pPr>
        <w:jc w:val="both"/>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63"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62" w:lineRule="exact"/>
        <w:rPr>
          <w:sz w:val="20"/>
          <w:szCs w:val="20"/>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2"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5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June 30, 2025, the last business day of the registrant’s most recently completed second fiscal quarter, the aggregate market value of the registrant’s common stock held by non-affiliates of the registrant was approximately $113,753,969 based on a closing price of $2.48 per share as quoted by the Nasdaq Global Select Market as of such date.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11, 2026, the registrant had 57,288,750 shares of common stock, $0.0001 par value per share, outstanding.</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Part III of this Annual Report on Form 10-K (Annual Report) incorporates by reference certain information from the definitive Proxy Statement for the registrant’s 2026 Annual Meeting of Stockholders (Proxy Statement), which the registrant intends to file pursuant to Regulation 14A with the Securities and Exchange Commission (SEC) not later than 120 days after the registrant’s fiscal year ended December 31, 2025. Except with respect to information specifically incorporated by reference, the Proxy Statement is not deemed to be filed as part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Summary of the Material and Other Risks Associated with Our Business</w:t>
      </w:r>
    </w:p>
    <w:p>
      <w:pPr>
        <w:spacing w:after="0" w:line="233"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9"/>
          <w:szCs w:val="19"/>
          <w:color w:val="auto"/>
        </w:rPr>
        <w:t>Our business is subject to numerous material and other risks and uncertainties that you should be aware of in evaluating our business, including those described in Part II, Item IA. “Risk Factors” in this Annual Report. These risks include, but are not limited to, the following:</w:t>
      </w:r>
    </w:p>
    <w:p>
      <w:pPr>
        <w:spacing w:after="0" w:line="43" w:lineRule="exact"/>
        <w:rPr>
          <w:sz w:val="20"/>
          <w:szCs w:val="20"/>
          <w:color w:val="auto"/>
        </w:rPr>
      </w:pPr>
    </w:p>
    <w:p>
      <w:pPr>
        <w:ind w:left="660" w:right="40" w:hanging="328"/>
        <w:spacing w:after="0" w:line="258"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very early in our development efforts and are substantially dependent on our lead clinical-stage product candidate, silevertinib. If we are unable to advance silevertinib or any of our future product candidates through clinical development, obtain regulatory approval and ultimately commercialize silevertinib or any of our future product candidates, or if we experience significant delays in doing so, our business will be materially harmed.</w:t>
      </w:r>
    </w:p>
    <w:p>
      <w:pPr>
        <w:spacing w:after="0" w:line="64"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in enrolling patients could delay or prevent clinical trials of our product candidates. We may find it difficult to enroll patients in our Phase 2 clinical trial for silevertinib in patients with newly diagnosed EGFR-altered glioblastoma (GBM) or our future product candidates.</w:t>
      </w:r>
    </w:p>
    <w:p>
      <w:pPr>
        <w:spacing w:after="0" w:line="73" w:lineRule="exact"/>
        <w:rPr>
          <w:rFonts w:ascii="Times New Roman" w:cs="Times New Roman" w:eastAsia="Times New Roman" w:hAnsi="Times New Roman"/>
          <w:sz w:val="20"/>
          <w:szCs w:val="20"/>
          <w:color w:val="auto"/>
        </w:rPr>
      </w:pPr>
    </w:p>
    <w:p>
      <w:pPr>
        <w:ind w:left="660" w:right="16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clinical trials may fail to demonstrate adequately the safety and efficacy of any of our product candidates, which would prevent or delay regulatory approval and commercialization.</w:t>
      </w:r>
    </w:p>
    <w:p>
      <w:pPr>
        <w:spacing w:after="0" w:line="38" w:lineRule="exact"/>
        <w:rPr>
          <w:rFonts w:ascii="Times New Roman" w:cs="Times New Roman" w:eastAsia="Times New Roman" w:hAnsi="Times New Roman"/>
          <w:sz w:val="20"/>
          <w:szCs w:val="20"/>
          <w:color w:val="auto"/>
        </w:rPr>
      </w:pPr>
    </w:p>
    <w:p>
      <w:pPr>
        <w:ind w:left="660" w:right="12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focused on the development of precision medicines for patients with genetically defined cancers, which is a rapidly evolving area of science, and the approach we have taken to discover, and are taking to develop drugs is novel and may never lead to marketable products.</w:t>
      </w:r>
    </w:p>
    <w:p>
      <w:pPr>
        <w:spacing w:after="0" w:line="73" w:lineRule="exact"/>
        <w:rPr>
          <w:rFonts w:ascii="Times New Roman" w:cs="Times New Roman" w:eastAsia="Times New Roman" w:hAnsi="Times New Roman"/>
          <w:sz w:val="20"/>
          <w:szCs w:val="20"/>
          <w:color w:val="auto"/>
        </w:rPr>
      </w:pPr>
    </w:p>
    <w:p>
      <w:pPr>
        <w:jc w:val="both"/>
        <w:ind w:left="660" w:right="16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73" w:lineRule="exact"/>
        <w:rPr>
          <w:rFonts w:ascii="Times New Roman" w:cs="Times New Roman" w:eastAsia="Times New Roman" w:hAnsi="Times New Roman"/>
          <w:sz w:val="20"/>
          <w:szCs w:val="20"/>
          <w:color w:val="auto"/>
        </w:rPr>
      </w:pPr>
    </w:p>
    <w:p>
      <w:pPr>
        <w:ind w:left="660" w:right="10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or economic disruptions or global health concerns could seriously harm our development efforts and increase our costs and expenses.</w:t>
      </w:r>
    </w:p>
    <w:p>
      <w:pPr>
        <w:spacing w:after="0" w:line="64" w:lineRule="exact"/>
        <w:rPr>
          <w:rFonts w:ascii="Times New Roman" w:cs="Times New Roman" w:eastAsia="Times New Roman" w:hAnsi="Times New Roman"/>
          <w:sz w:val="20"/>
          <w:szCs w:val="20"/>
          <w:color w:val="auto"/>
        </w:rPr>
      </w:pPr>
    </w:p>
    <w:p>
      <w:pPr>
        <w:ind w:left="660" w:right="36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limited operating history may make it difficult for you to evaluate the success of our business to date and to assess our future viability.</w:t>
      </w:r>
    </w:p>
    <w:p>
      <w:pPr>
        <w:spacing w:after="0" w:line="64" w:lineRule="exact"/>
        <w:rPr>
          <w:rFonts w:ascii="Times New Roman" w:cs="Times New Roman" w:eastAsia="Times New Roman" w:hAnsi="Times New Roman"/>
          <w:sz w:val="20"/>
          <w:szCs w:val="20"/>
          <w:color w:val="auto"/>
        </w:rPr>
      </w:pPr>
    </w:p>
    <w:p>
      <w:pPr>
        <w:ind w:left="660" w:right="14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significant losses since inception, and we expect to incur losses over the next several years and may not be able to achieve or sustain revenues or profitability in the future.</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not generated any revenue from our product candidates and may never be profitable.</w:t>
      </w:r>
    </w:p>
    <w:p>
      <w:pPr>
        <w:spacing w:after="0" w:line="121"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need substantial additional funding. If we are unable to raise capital when needed, we would be compelled to delay, reduce or eliminate our product development programs or commercialization efforts.</w:t>
      </w:r>
    </w:p>
    <w:p>
      <w:pPr>
        <w:spacing w:after="0" w:line="64" w:lineRule="exact"/>
        <w:rPr>
          <w:rFonts w:ascii="Times New Roman" w:cs="Times New Roman" w:eastAsia="Times New Roman" w:hAnsi="Times New Roman"/>
          <w:sz w:val="20"/>
          <w:szCs w:val="20"/>
          <w:color w:val="auto"/>
        </w:rPr>
      </w:pPr>
    </w:p>
    <w:p>
      <w:pPr>
        <w:ind w:left="660" w:right="140" w:hanging="328"/>
        <w:spacing w:after="0" w:line="25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or if any of our licensees are unable to obtain and maintain patent and other intellectual property protection for silevertinib, BDTX-4933, BDTX-4876, our MAP drug discovery engine and our other product candidates and technology, or any other product candidates or technology we may develop, or if the scope of intellectual property protection obtained is not sufficiently broad, our competitors could develop and commercialize products and technology similar or identical to ours, and our ability to commercialize silevertinib or any of our future product candidates or technology may be adversely affected.</w:t>
      </w:r>
    </w:p>
    <w:p>
      <w:pPr>
        <w:spacing w:after="0" w:line="83" w:lineRule="exact"/>
        <w:rPr>
          <w:rFonts w:ascii="Times New Roman" w:cs="Times New Roman" w:eastAsia="Times New Roman" w:hAnsi="Times New Roman"/>
          <w:sz w:val="20"/>
          <w:szCs w:val="20"/>
          <w:color w:val="auto"/>
        </w:rPr>
      </w:pPr>
    </w:p>
    <w:p>
      <w:pPr>
        <w:ind w:left="660" w:right="180" w:hanging="328"/>
        <w:spacing w:after="0" w:line="261"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 parties to conduct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73" w:lineRule="exact"/>
        <w:rPr>
          <w:rFonts w:ascii="Times New Roman" w:cs="Times New Roman" w:eastAsia="Times New Roman" w:hAnsi="Times New Roman"/>
          <w:sz w:val="20"/>
          <w:szCs w:val="20"/>
          <w:color w:val="auto"/>
        </w:rPr>
      </w:pPr>
    </w:p>
    <w:p>
      <w:pPr>
        <w:ind w:left="660" w:right="100" w:hanging="328"/>
        <w:spacing w:after="0" w:line="295" w:lineRule="auto"/>
        <w:tabs>
          <w:tab w:leader="none" w:pos="648"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have entered into a license agreement and may form or seek further collaborations or strategic alliances or enter into additional licensing arrangements in the future, and we may not realize the benefits of such collaborations, alliances or licensing arrangements.</w:t>
      </w:r>
    </w:p>
    <w:p>
      <w:pPr>
        <w:spacing w:after="0" w:line="43" w:lineRule="exact"/>
        <w:rPr>
          <w:rFonts w:ascii="Times New Roman" w:cs="Times New Roman" w:eastAsia="Times New Roman" w:hAnsi="Times New Roman"/>
          <w:sz w:val="19"/>
          <w:szCs w:val="19"/>
          <w:color w:val="auto"/>
        </w:rPr>
      </w:pPr>
    </w:p>
    <w:p>
      <w:pPr>
        <w:ind w:left="660" w:right="20" w:hanging="328"/>
        <w:spacing w:after="0" w:line="283"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highly dependent on our key personnel. If we are not successful in attracting and retaining highly qualified personnel, we may not be able to successfully implement our business strategy.</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of our stock is volatile,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Data collection is governed by restrictive regulations governing the use, processing and cross-border transfer of personal information.</w:t>
      </w:r>
    </w:p>
    <w:p>
      <w:pPr>
        <w:spacing w:after="0" w:line="132" w:lineRule="exact"/>
        <w:rPr>
          <w:rFonts w:ascii="Times New Roman" w:cs="Times New Roman" w:eastAsia="Times New Roman" w:hAnsi="Times New Roman"/>
          <w:sz w:val="19"/>
          <w:szCs w:val="19"/>
          <w:color w:val="auto"/>
        </w:rPr>
      </w:pPr>
    </w:p>
    <w:p>
      <w:pPr>
        <w:ind w:left="660" w:right="680" w:hanging="328"/>
        <w:spacing w:after="0" w:line="269"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patent law in the United States and in foreign jurisdictions could diminish the value of patents in general, thereby impairing our ability to protect our products.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tax law could adversely affect our business and financial condition.</w:t>
      </w:r>
    </w:p>
    <w:p>
      <w:pPr>
        <w:spacing w:after="0" w:line="107"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United States and some foreign jurisdictions, there have been and may continue to be a number of legislative and regulatory changes and proposed changes regarding the healthcare system.</w:t>
      </w:r>
    </w:p>
    <w:p>
      <w:pPr>
        <w:spacing w:after="0" w:line="51" w:lineRule="exact"/>
        <w:rPr>
          <w:rFonts w:ascii="Times New Roman" w:cs="Times New Roman" w:eastAsia="Times New Roman" w:hAnsi="Times New Roman"/>
          <w:sz w:val="20"/>
          <w:szCs w:val="20"/>
          <w:color w:val="auto"/>
        </w:rPr>
      </w:pPr>
    </w:p>
    <w:p>
      <w:pPr>
        <w:jc w:val="both"/>
        <w:ind w:left="660" w:right="80" w:hanging="328"/>
        <w:spacing w:after="0" w:line="261"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adequately protect our information systems from cyberattacks, cybersecurity incidents, or compromises, which could result in the disclosure of confidential or proprietary information, including personal data, damage our reputation, and subject us to significant financial and legal exposure.</w:t>
      </w:r>
    </w:p>
    <w:p>
      <w:pPr>
        <w:spacing w:after="0" w:line="168"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 xml:space="preserve">The material and other risks summarized above should be read together with the text of the full risk factors discussed in the section entitled </w:t>
      </w:r>
      <w:r>
        <w:rPr>
          <w:rFonts w:ascii="Times New Roman" w:cs="Times New Roman" w:eastAsia="Times New Roman" w:hAnsi="Times New Roman"/>
          <w:sz w:val="20"/>
          <w:szCs w:val="20"/>
          <w:i w:val="1"/>
          <w:iCs w:val="1"/>
          <w:color w:val="auto"/>
        </w:rPr>
        <w:t xml:space="preserve">“Risk Factors” </w:t>
      </w:r>
      <w:r>
        <w:rPr>
          <w:rFonts w:ascii="Times New Roman" w:cs="Times New Roman" w:eastAsia="Times New Roman" w:hAnsi="Times New Roman"/>
          <w:sz w:val="20"/>
          <w:szCs w:val="20"/>
          <w:color w:val="auto"/>
        </w:rPr>
        <w:t>and the other information set forth in this Annual Report, including our consolidated financial statements and the related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notes, as well as in other documents that we file with the Securities and Exchange Commission. If any such material and other risks and uncertainties actually occur, our business, prospects, financial condition and results of operations could be materially and adversely affected. The risks summarized above or described in full elsewhere in this Annual Report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0460" w:type="dxa"/>
            <w:vAlign w:val="bottom"/>
          </w:tcPr>
          <w:p>
            <w:pPr>
              <w:ind w:left="3680"/>
              <w:spacing w:after="0"/>
              <w:rPr>
                <w:sz w:val="20"/>
                <w:szCs w:val="20"/>
                <w:color w:val="auto"/>
              </w:rPr>
            </w:pPr>
            <w:r>
              <w:rPr>
                <w:rFonts w:ascii="Times New Roman" w:cs="Times New Roman" w:eastAsia="Times New Roman" w:hAnsi="Times New Roman"/>
                <w:sz w:val="20"/>
                <w:szCs w:val="20"/>
                <w:b w:val="1"/>
                <w:bCs w:val="1"/>
                <w:color w:val="auto"/>
              </w:rPr>
              <w:t>BLACK DIAMOND THERAPEUTICS, INC.</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10460" w:type="dxa"/>
            <w:vAlign w:val="bottom"/>
          </w:tcPr>
          <w:p>
            <w:pPr>
              <w:ind w:left="45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04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317"/>
        </w:trPr>
        <w:tc>
          <w:tcPr>
            <w:tcW w:w="10460" w:type="dxa"/>
            <w:vAlign w:val="bottom"/>
          </w:tcPr>
          <w:p>
            <w:pPr>
              <w:ind w:left="4920"/>
              <w:spacing w:after="0"/>
              <w:rPr>
                <w:sz w:val="20"/>
                <w:szCs w:val="20"/>
                <w:color w:val="auto"/>
              </w:rPr>
            </w:pPr>
            <w:r>
              <w:rPr>
                <w:rFonts w:ascii="Times New Roman" w:cs="Times New Roman" w:eastAsia="Times New Roman" w:hAnsi="Times New Roman"/>
                <w:sz w:val="20"/>
                <w:szCs w:val="20"/>
                <w:color w:val="0000FF"/>
              </w:rPr>
              <w:t>PART I</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7</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1. Business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w:t>
            </w:r>
          </w:p>
        </w:tc>
        <w:tc>
          <w:tcPr>
            <w:tcW w:w="0" w:type="dxa"/>
            <w:vAlign w:val="bottom"/>
          </w:tcPr>
          <w:p>
            <w:pPr>
              <w:spacing w:after="0"/>
              <w:rPr>
                <w:sz w:val="1"/>
                <w:szCs w:val="1"/>
                <w:color w:val="auto"/>
              </w:rPr>
            </w:pPr>
          </w:p>
        </w:tc>
      </w:tr>
      <w:tr>
        <w:trPr>
          <w:trHeight w:val="351"/>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1A. Risk Factors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44</w:t>
            </w:r>
          </w:p>
        </w:tc>
        <w:tc>
          <w:tcPr>
            <w:tcW w:w="0" w:type="dxa"/>
            <w:vAlign w:val="bottom"/>
          </w:tcPr>
          <w:p>
            <w:pPr>
              <w:spacing w:after="0"/>
              <w:rPr>
                <w:sz w:val="1"/>
                <w:szCs w:val="1"/>
                <w:color w:val="auto"/>
              </w:rPr>
            </w:pPr>
          </w:p>
        </w:tc>
      </w:tr>
      <w:tr>
        <w:trPr>
          <w:trHeight w:val="297"/>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1B. Unresolved Staff Comments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115</w:t>
            </w:r>
          </w:p>
        </w:tc>
        <w:tc>
          <w:tcPr>
            <w:tcW w:w="0" w:type="dxa"/>
            <w:vAlign w:val="bottom"/>
          </w:tcPr>
          <w:p>
            <w:pPr>
              <w:spacing w:after="0"/>
              <w:rPr>
                <w:sz w:val="1"/>
                <w:szCs w:val="1"/>
                <w:color w:val="auto"/>
              </w:rPr>
            </w:pPr>
          </w:p>
        </w:tc>
      </w:tr>
      <w:tr>
        <w:trPr>
          <w:trHeight w:val="324"/>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1C. 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115</w:t>
            </w:r>
          </w:p>
        </w:tc>
        <w:tc>
          <w:tcPr>
            <w:tcW w:w="0" w:type="dxa"/>
            <w:vAlign w:val="bottom"/>
          </w:tcPr>
          <w:p>
            <w:pPr>
              <w:spacing w:after="0"/>
              <w:rPr>
                <w:sz w:val="1"/>
                <w:szCs w:val="1"/>
                <w:color w:val="auto"/>
              </w:rPr>
            </w:pPr>
          </w:p>
        </w:tc>
      </w:tr>
      <w:tr>
        <w:trPr>
          <w:trHeight w:val="351"/>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2. 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116</w:t>
            </w:r>
          </w:p>
        </w:tc>
        <w:tc>
          <w:tcPr>
            <w:tcW w:w="0" w:type="dxa"/>
            <w:vAlign w:val="bottom"/>
          </w:tcPr>
          <w:p>
            <w:pPr>
              <w:spacing w:after="0"/>
              <w:rPr>
                <w:sz w:val="1"/>
                <w:szCs w:val="1"/>
                <w:color w:val="auto"/>
              </w:rPr>
            </w:pPr>
          </w:p>
        </w:tc>
      </w:tr>
      <w:tr>
        <w:trPr>
          <w:trHeight w:val="324"/>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3. Legal Proceedings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117</w:t>
            </w: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4. Mine Safety Disclosures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117</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ind w:left="4900"/>
              <w:spacing w:after="0"/>
              <w:rPr>
                <w:sz w:val="20"/>
                <w:szCs w:val="20"/>
                <w:color w:val="auto"/>
              </w:rPr>
            </w:pPr>
            <w:r>
              <w:rPr>
                <w:rFonts w:ascii="Times New Roman" w:cs="Times New Roman" w:eastAsia="Times New Roman" w:hAnsi="Times New Roman"/>
                <w:sz w:val="20"/>
                <w:szCs w:val="20"/>
                <w:color w:val="0000FF"/>
              </w:rPr>
              <w:t>PART II</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118</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5. Market for Registrant’s Common Equity, Related Stockholder Matters and Issuer Purchases of Equity Securities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118</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6. Reserved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118</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7. Management’s Discussion and Analysis of Financial Condition and Results of Operations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118</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7A. Quantitative and Qualitative Disclosures about Market Risk</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130</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8. Financial Statements and Supplementary Data</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131</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9. Changes in and Disagreements with Accountants on Accounting and Financial Disclosure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161</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9A. Controls and Procedures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161</w:t>
            </w:r>
          </w:p>
        </w:tc>
        <w:tc>
          <w:tcPr>
            <w:tcW w:w="0" w:type="dxa"/>
            <w:vAlign w:val="bottom"/>
          </w:tcPr>
          <w:p>
            <w:pPr>
              <w:spacing w:after="0"/>
              <w:rPr>
                <w:sz w:val="1"/>
                <w:szCs w:val="1"/>
                <w:color w:val="auto"/>
              </w:rPr>
            </w:pPr>
          </w:p>
        </w:tc>
      </w:tr>
      <w:tr>
        <w:trPr>
          <w:trHeight w:val="68"/>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9B. Other Information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162</w:t>
            </w:r>
          </w:p>
        </w:tc>
        <w:tc>
          <w:tcPr>
            <w:tcW w:w="0" w:type="dxa"/>
            <w:vAlign w:val="bottom"/>
          </w:tcPr>
          <w:p>
            <w:pPr>
              <w:spacing w:after="0"/>
              <w:rPr>
                <w:sz w:val="1"/>
                <w:szCs w:val="1"/>
                <w:color w:val="auto"/>
              </w:rPr>
            </w:pPr>
          </w:p>
        </w:tc>
      </w:tr>
      <w:tr>
        <w:trPr>
          <w:trHeight w:val="66"/>
        </w:trPr>
        <w:tc>
          <w:tcPr>
            <w:tcW w:w="104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0460" w:type="dxa"/>
            <w:vAlign w:val="bottom"/>
          </w:tcPr>
          <w:p>
            <w:pPr>
              <w:spacing w:after="0"/>
              <w:rPr>
                <w:sz w:val="20"/>
                <w:szCs w:val="20"/>
                <w:color w:val="auto"/>
              </w:rPr>
            </w:pPr>
            <w:r>
              <w:rPr>
                <w:rFonts w:ascii="Times New Roman" w:cs="Times New Roman" w:eastAsia="Times New Roman" w:hAnsi="Times New Roman"/>
                <w:sz w:val="20"/>
                <w:szCs w:val="20"/>
                <w:color w:val="0000FF"/>
              </w:rPr>
              <w:t>Item 9C. 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162</w:t>
            </w:r>
          </w:p>
        </w:tc>
        <w:tc>
          <w:tcPr>
            <w:tcW w:w="0" w:type="dxa"/>
            <w:vAlign w:val="bottom"/>
          </w:tcPr>
          <w:p>
            <w:pPr>
              <w:spacing w:after="0"/>
              <w:rPr>
                <w:sz w:val="1"/>
                <w:szCs w:val="1"/>
                <w:color w:val="auto"/>
              </w:rPr>
            </w:pPr>
          </w:p>
        </w:tc>
      </w:tr>
    </w:tbl>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700" w:type="dxa"/>
            <w:vAlign w:val="bottom"/>
          </w:tcPr>
          <w:p>
            <w:pPr>
              <w:spacing w:after="0"/>
              <w:rPr>
                <w:sz w:val="22"/>
                <w:szCs w:val="22"/>
                <w:color w:val="auto"/>
              </w:rPr>
            </w:pPr>
          </w:p>
        </w:tc>
        <w:tc>
          <w:tcPr>
            <w:tcW w:w="9120" w:type="dxa"/>
            <w:vAlign w:val="bottom"/>
          </w:tcPr>
          <w:p>
            <w:pPr>
              <w:ind w:left="4160"/>
              <w:spacing w:after="0"/>
              <w:rPr>
                <w:sz w:val="20"/>
                <w:szCs w:val="20"/>
                <w:color w:val="auto"/>
              </w:rPr>
            </w:pPr>
            <w:r>
              <w:rPr>
                <w:rFonts w:ascii="Times New Roman" w:cs="Times New Roman" w:eastAsia="Times New Roman" w:hAnsi="Times New Roman"/>
                <w:sz w:val="20"/>
                <w:szCs w:val="20"/>
                <w:color w:val="0000FF"/>
              </w:rPr>
              <w:t>PART III</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163</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98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Item 10. Directors, Executive Officers and Corporate Governance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163</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98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Item 11. Executive Compensation</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163</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rPr>
              <w:t>Item 12.</w:t>
            </w:r>
          </w:p>
        </w:tc>
        <w:tc>
          <w:tcPr>
            <w:tcW w:w="9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 Matters</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163</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rPr>
              <w:t>Item 13.</w:t>
            </w:r>
          </w:p>
        </w:tc>
        <w:tc>
          <w:tcPr>
            <w:tcW w:w="9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Certain Relationships and Related Transactions and Director Independence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163</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rPr>
              <w:t>Item 14.</w:t>
            </w:r>
          </w:p>
        </w:tc>
        <w:tc>
          <w:tcPr>
            <w:tcW w:w="9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163</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4"/>
                <w:szCs w:val="24"/>
                <w:color w:val="auto"/>
              </w:rPr>
            </w:pPr>
          </w:p>
        </w:tc>
        <w:tc>
          <w:tcPr>
            <w:tcW w:w="9120" w:type="dxa"/>
            <w:vAlign w:val="bottom"/>
          </w:tcPr>
          <w:p>
            <w:pPr>
              <w:ind w:left="4160"/>
              <w:spacing w:after="0"/>
              <w:rPr>
                <w:sz w:val="20"/>
                <w:szCs w:val="20"/>
                <w:color w:val="auto"/>
              </w:rPr>
            </w:pPr>
            <w:r>
              <w:rPr>
                <w:rFonts w:ascii="Times New Roman" w:cs="Times New Roman" w:eastAsia="Times New Roman" w:hAnsi="Times New Roman"/>
                <w:sz w:val="20"/>
                <w:szCs w:val="20"/>
                <w:color w:val="0000FF"/>
              </w:rPr>
              <w:t>PART IV</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164</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0000FF"/>
              </w:rPr>
              <w:t>Item 15.</w:t>
            </w:r>
          </w:p>
        </w:tc>
        <w:tc>
          <w:tcPr>
            <w:tcW w:w="91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Exhibits and Financial Statement Schedules</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164</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91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6660" w:type="dxa"/>
            <w:vAlign w:val="bottom"/>
          </w:tcPr>
          <w:p>
            <w:pPr>
              <w:spacing w:after="0"/>
              <w:rPr>
                <w:sz w:val="20"/>
                <w:szCs w:val="20"/>
                <w:color w:val="auto"/>
              </w:rPr>
            </w:pPr>
            <w:r>
              <w:rPr>
                <w:rFonts w:ascii="Times New Roman" w:cs="Times New Roman" w:eastAsia="Times New Roman" w:hAnsi="Times New Roman"/>
                <w:sz w:val="20"/>
                <w:szCs w:val="20"/>
                <w:color w:val="0000FF"/>
              </w:rPr>
              <w:t>Item 16. Form 10-K Summary</w:t>
            </w:r>
          </w:p>
        </w:tc>
        <w:tc>
          <w:tcPr>
            <w:tcW w:w="45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166</w:t>
            </w:r>
          </w:p>
        </w:tc>
        <w:tc>
          <w:tcPr>
            <w:tcW w:w="0" w:type="dxa"/>
            <w:vAlign w:val="bottom"/>
          </w:tcPr>
          <w:p>
            <w:pPr>
              <w:spacing w:after="0"/>
              <w:rPr>
                <w:sz w:val="1"/>
                <w:szCs w:val="1"/>
                <w:color w:val="auto"/>
              </w:rPr>
            </w:pPr>
          </w:p>
        </w:tc>
      </w:tr>
      <w:tr>
        <w:trPr>
          <w:trHeight w:val="68"/>
        </w:trPr>
        <w:tc>
          <w:tcPr>
            <w:tcW w:w="6660" w:type="dxa"/>
            <w:vAlign w:val="bottom"/>
          </w:tcPr>
          <w:p>
            <w:pPr>
              <w:spacing w:after="0"/>
              <w:rPr>
                <w:sz w:val="5"/>
                <w:szCs w:val="5"/>
                <w:color w:val="auto"/>
              </w:rPr>
            </w:pPr>
          </w:p>
        </w:tc>
        <w:tc>
          <w:tcPr>
            <w:tcW w:w="4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20"/>
          <w:szCs w:val="20"/>
          <w:color w:val="auto"/>
        </w:rPr>
        <w:t xml:space="preserve">We have applied for various trademarks that we use in connection with the operation of our business. This Annual Report on Form 10-K (Annual Report) may also contain trademarks, service marks and trade names of third parties, which are the property of their respective owners. Our use or display of third parties’ trademarks, service marks, trade names or products in this Annual Report is not intended to, and does not imply a relationship with, or endorsement or sponsorship by us. Solely for convenience, the trademarks, service marks and trade names referred to in this Annual Report may appear without the ®,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symbols, but the omission of such references is not intended to indicate, in any way, that we will not assert, to the fullest extent under applicable law, our rights or that the applicable owner of these trademarks, service marks and trade names will not assert, to the fullest extent under applicable law, its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From time to time, we may use our website or our LinkedIn profile at www.linkedin.com/company/black-diamond-therapeutics to distribute material information. Our financial and other material information is routinely posted to and accessible on the Investors section of our website, available at www.blackdiamondtherapeutics.com. Investors are encouraged to review the Investors section of our website because we may post material information on that site that is not otherwise disseminated by us. Information that is contained in and can be accessed through our website or our LinkedIn page is not incorporated into, and does not form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This Annual Report contains forward-looking statements which are made pursuant to the safe harbor provisions of Section 27A of the Securities Act of 1933, as amended, (the Securities Act), and Section 21E of the Securities Exchange Act of 1934, as amended (the Exchange Act). All statements other than statements of historical facts contained in this Annual Report are forward-looking statements. In some cases, you can identify forward-looking statements by terminology such as “may”, “will”, “could”,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statements about:</w:t>
      </w:r>
    </w:p>
    <w:p>
      <w:pPr>
        <w:spacing w:after="0" w:line="85" w:lineRule="exact"/>
        <w:rPr>
          <w:sz w:val="20"/>
          <w:szCs w:val="20"/>
          <w:color w:val="auto"/>
        </w:rPr>
      </w:pPr>
    </w:p>
    <w:p>
      <w:pPr>
        <w:ind w:left="660" w:right="4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progress, timing and success of our clinical trials of silevertinib (formerly BDTX-1535) and any of our future product candidates, including the availability, timing and announcement of data and results of such trials;</w:t>
      </w:r>
    </w:p>
    <w:p>
      <w:pPr>
        <w:spacing w:after="0" w:line="64" w:lineRule="exact"/>
        <w:rPr>
          <w:rFonts w:ascii="Times New Roman" w:cs="Times New Roman" w:eastAsia="Times New Roman" w:hAnsi="Times New Roman"/>
          <w:sz w:val="20"/>
          <w:szCs w:val="20"/>
          <w:color w:val="auto"/>
        </w:rPr>
      </w:pPr>
    </w:p>
    <w:p>
      <w:pPr>
        <w:ind w:left="660" w:right="8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regulatory approval for silevertinib or any of our future product candidates that we may identify or develop;</w:t>
      </w:r>
    </w:p>
    <w:p>
      <w:pPr>
        <w:spacing w:after="0" w:line="38" w:lineRule="exact"/>
        <w:rPr>
          <w:rFonts w:ascii="Times New Roman" w:cs="Times New Roman" w:eastAsia="Times New Roman" w:hAnsi="Times New Roman"/>
          <w:sz w:val="20"/>
          <w:szCs w:val="20"/>
          <w:color w:val="auto"/>
        </w:rPr>
      </w:pPr>
    </w:p>
    <w:p>
      <w:pPr>
        <w:ind w:left="660" w:right="4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timing, progress and results of our clinical trials and investigational new drug (IND) applications, development efforts and other regulatory submissions;</w:t>
      </w:r>
    </w:p>
    <w:p>
      <w:pPr>
        <w:spacing w:after="0" w:line="38" w:lineRule="exact"/>
        <w:rPr>
          <w:rFonts w:ascii="Times New Roman" w:cs="Times New Roman" w:eastAsia="Times New Roman" w:hAnsi="Times New Roman"/>
          <w:sz w:val="20"/>
          <w:szCs w:val="20"/>
          <w:color w:val="auto"/>
        </w:rPr>
      </w:pPr>
    </w:p>
    <w:p>
      <w:pPr>
        <w:ind w:left="660" w:right="14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competition with respect to silevertinib or any of our other current or future product candidates, as well as innovations by current and future competitors in our industry;</w:t>
      </w:r>
    </w:p>
    <w:p>
      <w:pPr>
        <w:spacing w:after="0" w:line="38" w:lineRule="exact"/>
        <w:rPr>
          <w:rFonts w:ascii="Times New Roman" w:cs="Times New Roman" w:eastAsia="Times New Roman" w:hAnsi="Times New Roman"/>
          <w:sz w:val="20"/>
          <w:szCs w:val="20"/>
          <w:color w:val="auto"/>
        </w:rPr>
      </w:pPr>
    </w:p>
    <w:p>
      <w:pPr>
        <w:ind w:left="660" w:right="360" w:hanging="328"/>
        <w:spacing w:after="0" w:line="283"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evaluation of potential partnership opportunities to advance the pivotal development of silevertinib in a timely manner and to successfully execute and realize the intended and potential benefits of any such potential partnership;</w:t>
      </w:r>
    </w:p>
    <w:p>
      <w:pPr>
        <w:spacing w:after="0" w:line="51" w:lineRule="exact"/>
        <w:rPr>
          <w:rFonts w:ascii="Times New Roman" w:cs="Times New Roman" w:eastAsia="Times New Roman" w:hAnsi="Times New Roman"/>
          <w:sz w:val="20"/>
          <w:szCs w:val="20"/>
          <w:color w:val="auto"/>
        </w:rPr>
      </w:pPr>
    </w:p>
    <w:p>
      <w:pPr>
        <w:ind w:left="660" w:right="16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partnership with Servier Pharmaceuticals LLC (Servier) and the intended and potential benefits thereof, including the receipt of potential development and commercial milestone payments, along with tiered royalties based on global net sales, if any;</w:t>
      </w:r>
    </w:p>
    <w:p>
      <w:pPr>
        <w:spacing w:after="0" w:line="64" w:lineRule="exact"/>
        <w:rPr>
          <w:rFonts w:ascii="Times New Roman" w:cs="Times New Roman" w:eastAsia="Times New Roman" w:hAnsi="Times New Roman"/>
          <w:sz w:val="20"/>
          <w:szCs w:val="20"/>
          <w:color w:val="auto"/>
        </w:rPr>
      </w:pPr>
    </w:p>
    <w:p>
      <w:pPr>
        <w:ind w:left="660" w:right="280" w:hanging="328"/>
        <w:spacing w:after="0" w:line="261"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Servier’s ability to develop and commercialize BDTX-4933, including the ongoing Phase 1 clinical trial of BDTX-4933, and the potential of BDTX-4933 to address the unmet medical need for patients with RAF/RAS-mutant solid tumors, including non-small cell lung cancer (NSCLC);</w:t>
      </w:r>
    </w:p>
    <w:p>
      <w:pPr>
        <w:spacing w:after="0" w:line="73" w:lineRule="exact"/>
        <w:rPr>
          <w:rFonts w:ascii="Times New Roman" w:cs="Times New Roman" w:eastAsia="Times New Roman" w:hAnsi="Times New Roman"/>
          <w:sz w:val="20"/>
          <w:szCs w:val="20"/>
          <w:color w:val="auto"/>
        </w:rPr>
      </w:pPr>
    </w:p>
    <w:p>
      <w:pPr>
        <w:ind w:left="660" w:right="300" w:hanging="328"/>
        <w:spacing w:after="0" w:line="269"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evaluation of strategic alternatives for BDTX-4876, including our ability to execute and realize the anticipated benefits of any strategic alternatives we may pursue;</w:t>
      </w:r>
    </w:p>
    <w:p>
      <w:pPr>
        <w:spacing w:after="0" w:line="9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our ability to develop our current and future product candidates for the treatment of various cancers;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the rate and degree of market acceptance and clinical utility for any current or future product candidates we may develop;</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Times New Roman" w:cs="Times New Roman" w:eastAsia="Times New Roman" w:hAnsi="Times New Roman"/>
          <w:sz w:val="20"/>
          <w:szCs w:val="20"/>
          <w:color w:val="auto"/>
        </w:rPr>
        <w:t>the implementation of our strategic plans for our business and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578485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00" w:hanging="328"/>
        <w:spacing w:after="0" w:line="310" w:lineRule="auto"/>
        <w:tabs>
          <w:tab w:leader="none" w:pos="64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intellectual property position, including the scope of protection we are able to establish, maintain and enforce for intellectual property rights covering our product candidates and Mutation-Allostery-Pharmacology (MAP) drug discovery engine;</w:t>
      </w:r>
    </w:p>
    <w:p>
      <w:pPr>
        <w:spacing w:after="0" w:line="16" w:lineRule="exact"/>
        <w:rPr>
          <w:rFonts w:ascii="Times New Roman" w:cs="Times New Roman" w:eastAsia="Times New Roman" w:hAnsi="Times New Roman"/>
          <w:sz w:val="19"/>
          <w:szCs w:val="19"/>
          <w:color w:val="auto"/>
        </w:rPr>
      </w:pPr>
    </w:p>
    <w:p>
      <w:pPr>
        <w:ind w:left="660" w:right="100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additional funding for our operations, when needed, including funding necessary to complete further development and commercialization of our product candidates, if approved;</w:t>
      </w:r>
    </w:p>
    <w:p>
      <w:pPr>
        <w:spacing w:after="0" w:line="38"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over which we expect our existing cash, cash equivalents and investments will be sufficient to fund our operating expenses and capital expenditure requirements;</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of our estimates regarding expenses, future revenue, capital requirements and needs for additional financing;</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financial performance and our ability to effectively manage our anticipated growth;</w:t>
      </w:r>
    </w:p>
    <w:p>
      <w:pPr>
        <w:spacing w:after="0" w:line="121" w:lineRule="exact"/>
        <w:rPr>
          <w:rFonts w:ascii="Times New Roman" w:cs="Times New Roman" w:eastAsia="Times New Roman" w:hAnsi="Times New Roman"/>
          <w:sz w:val="20"/>
          <w:szCs w:val="20"/>
          <w:color w:val="auto"/>
        </w:rPr>
      </w:pPr>
    </w:p>
    <w:p>
      <w:pPr>
        <w:ind w:left="660" w:right="28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estimates regarding the market opportunities for our product candidates, including our competitive position and the success of competing therapies that are or may become available;</w:t>
      </w:r>
    </w:p>
    <w:p>
      <w:pPr>
        <w:spacing w:after="0" w:line="64" w:lineRule="exact"/>
        <w:rPr>
          <w:rFonts w:ascii="Times New Roman" w:cs="Times New Roman" w:eastAsia="Times New Roman" w:hAnsi="Times New Roman"/>
          <w:sz w:val="20"/>
          <w:szCs w:val="20"/>
          <w:color w:val="auto"/>
        </w:rPr>
      </w:pPr>
    </w:p>
    <w:p>
      <w:pPr>
        <w:ind w:left="660" w:right="4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need for and ability to attract and retain key scientific, management and other personnel and to identify, hire and retain additional qualified professionals;</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for our business development efforts to maximize the value of our product candidates;</w:t>
      </w:r>
    </w:p>
    <w:p>
      <w:pPr>
        <w:spacing w:after="0" w:line="121" w:lineRule="exact"/>
        <w:rPr>
          <w:rFonts w:ascii="Times New Roman" w:cs="Times New Roman" w:eastAsia="Times New Roman" w:hAnsi="Times New Roman"/>
          <w:sz w:val="20"/>
          <w:szCs w:val="20"/>
          <w:color w:val="auto"/>
        </w:rPr>
      </w:pPr>
    </w:p>
    <w:p>
      <w:pPr>
        <w:ind w:left="660" w:right="46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potential of the markets for our product candidates, and our ability to serve those markets, either alone or in partnership with others;</w:t>
      </w:r>
    </w:p>
    <w:p>
      <w:pPr>
        <w:spacing w:after="0" w:line="64" w:lineRule="exact"/>
        <w:rPr>
          <w:rFonts w:ascii="Times New Roman" w:cs="Times New Roman" w:eastAsia="Times New Roman" w:hAnsi="Times New Roman"/>
          <w:sz w:val="20"/>
          <w:szCs w:val="20"/>
          <w:color w:val="auto"/>
        </w:rPr>
      </w:pPr>
    </w:p>
    <w:p>
      <w:pPr>
        <w:ind w:left="660" w:right="280" w:hanging="328"/>
        <w:spacing w:after="0" w:line="281" w:lineRule="auto"/>
        <w:tabs>
          <w:tab w:leader="none" w:pos="648"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establish or maintain collaborations or strategic relationships, the ability and willingness of our third-party strategic collaborators to undertake research and development activities relating to our current or future product candidates, and the achievement of milestones or occurrence of other developments that trigger payments under any collaboration agreements, if any;</w:t>
      </w:r>
    </w:p>
    <w:p>
      <w:pPr>
        <w:spacing w:after="0" w:line="56"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an effective system of internal controls;</w:t>
      </w:r>
    </w:p>
    <w:p>
      <w:pPr>
        <w:spacing w:after="0" w:line="107" w:lineRule="exact"/>
        <w:rPr>
          <w:rFonts w:ascii="Times New Roman" w:cs="Times New Roman" w:eastAsia="Times New Roman" w:hAnsi="Times New Roman"/>
          <w:sz w:val="20"/>
          <w:szCs w:val="20"/>
          <w:color w:val="auto"/>
        </w:rPr>
      </w:pPr>
    </w:p>
    <w:p>
      <w:pPr>
        <w:ind w:left="660" w:right="60" w:hanging="328"/>
        <w:spacing w:after="0" w:line="25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macroeconomic and geopolitical developments on our business, including rising inflation and capital market disruptions, changes in or disruptions of U.S. governmental agencies, whether from a U.S. federal government shutdown or reduced resources, new or increased international tariffs and retaliatory tariffs, new laws and regulations or amendments to existing laws and regulations in the U.S. and foreign countries, trade protection measures, economic sanctions and economic slowdowns or recessions that may result from such developments which could harm our research and development efforts as well as the value of our common stock and our ability to access capital markets; and</w:t>
      </w:r>
    </w:p>
    <w:p>
      <w:pPr>
        <w:spacing w:after="0" w:line="8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material risks and uncertainties, including those discussed in Part I, Item 1A, “Risk Factors” in this Annual Report.</w:t>
      </w:r>
    </w:p>
    <w:p>
      <w:pPr>
        <w:spacing w:after="0" w:line="21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Any forward-looking statements in this Annual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All of our forward-looking statements are as of the date of this Annual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or included in our other public disclosures or our other periodic reports or other documents or filings filed with or furnished to the SEC could materially and adversely affect our business, prospects, financial condition and results of operations. Some of these risks and uncertainties may in the future be amplified by global health crises, macroeconomic conditions and geopolitical developments, and there may be additional risks that we consider immaterial or which are unknown. It is not possible to predict or identify all such risks.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even if such results, changes or circumstances make it clear that any forward-looking information will not be realized. Any public statements or disclosures by us following this Annual Report that modify or impact any of the forward-looking statements contained in this Annual Report will be deemed to modify or supersede such statements in this Annual Report.</w:t>
      </w:r>
    </w:p>
    <w:p>
      <w:pPr>
        <w:spacing w:after="0" w:line="17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20"/>
          <w:szCs w:val="20"/>
          <w:color w:val="auto"/>
        </w:rPr>
        <w:t>This Annual Report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as exhibits to this Annual Report.</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Annual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i w:val="1"/>
          <w:iCs w:val="1"/>
          <w:color w:val="auto"/>
        </w:rPr>
        <w:t>Except where the context otherwise requires or where otherwise indicated, the terms “Black Diamond,” “Black Diamond Therapeutics,” “we,” “us,” “our,” “our company,” the “Company,” “we,” “us,” “our” and similar designations in this Annual Report to refer to Black Diamond Therapeutics, Inc. and, where appropriate, its subsidiary.</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60"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We are a clinical-stage oncology company developing MasterKey therapies that target families of oncogenic mutations in patients with cancer. The foundation of our company is built upon a deep understanding of cancer genetics, onco-protein structure and function, and medicinal chemistry. Our MasterKey therapies are designed to address a broad spectrum of genetically defined tumors, overcome resistance, minimize wild-type mediated toxicities, and be brain-penetrant to treat central nervous system (CNS) disease. Our compounds target families of oncogenic mutations in clinically validated pathways. Our lead clinical-stage program, silevertinib (formerly BDTX-1535), a brain-penetrant, fourth-generation epidermal growth factor receptor (EGFR) MasterKey inhibitor, is currently being studied in a Phase 2 clinical trial in patients with epidermal growth factor receptor mutant (EGFRm) non-small cell lung cancer (NSCLC). We plan to initiate a randomized Phase 2 trial of silevertinib in newly diagnosed patients with EGFR altered glioblastoma (GBM) in the second quarter of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Black Diamond Therapeutics approach</w:t>
      </w:r>
    </w:p>
    <w:p>
      <w:pPr>
        <w:spacing w:after="0" w:line="233"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Our goal is to bring targeted oncology medicine to patients with genetically defined cancers who have limited treatment options. Our drug development efforts leverage our novel findings that:</w:t>
      </w:r>
    </w:p>
    <w:p>
      <w:pPr>
        <w:spacing w:after="0" w:line="38"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mutations throughout a gene can drive oncogenic activation and change the drug selectivity profile of their active sites;</w:t>
      </w:r>
    </w:p>
    <w:p>
      <w:pPr>
        <w:spacing w:after="0" w:line="121" w:lineRule="exact"/>
        <w:rPr>
          <w:rFonts w:ascii="Times New Roman" w:cs="Times New Roman" w:eastAsia="Times New Roman" w:hAnsi="Times New Roman"/>
          <w:sz w:val="20"/>
          <w:szCs w:val="20"/>
          <w:color w:val="auto"/>
        </w:rPr>
      </w:pPr>
    </w:p>
    <w:p>
      <w:pPr>
        <w:ind w:left="660" w:right="26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oncogenic mutations can be grouped into families because they drive similar protein structural changes, and exhibit a shared selectivity profile; and</w:t>
      </w:r>
    </w:p>
    <w:p>
      <w:pPr>
        <w:spacing w:after="0" w:line="64" w:lineRule="exact"/>
        <w:rPr>
          <w:rFonts w:ascii="Times New Roman" w:cs="Times New Roman" w:eastAsia="Times New Roman" w:hAnsi="Times New Roman"/>
          <w:sz w:val="20"/>
          <w:szCs w:val="20"/>
          <w:color w:val="auto"/>
        </w:rPr>
      </w:pPr>
    </w:p>
    <w:p>
      <w:pPr>
        <w:ind w:left="660" w:right="560" w:hanging="328"/>
        <w:spacing w:after="0" w:line="283"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family of oncogenic proteins can therefore be inhibited by a single molecule that targets the active site regardless of where it appears on the receptor.</w:t>
      </w:r>
    </w:p>
    <w:p>
      <w:pPr>
        <w:spacing w:after="0" w:line="14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Our MasterKey therapies were discovered using our proprietary MAP drug discovery engine which was built on three central pillars: identification of oncogenic mutations, confirmation of oncogenicity of mutations based upon cell and tumor models, and pharmacologic inhibition of the relevant mutations while sparing wild-type. Approved targeted therapies, such as kinase inhibitors, have transformed the treatment of cancers and demonstrated a significant benefit in certain patients by treating active site mutations in a single tumor type. Improved genetic sequencing of human cancers has led to the discovery of additional oncogenic genetic alterations. These genetic alterations were previously unaddressed, unsuccessfully targeted or overlooked. Our MasterKey therapies are designed to target families of oncogenic driver mutations by exploiting their shared activating conformation. We believe our MasterKey approach offers a substantial opportunity to expand the number of patients who could benefit from targeted oncology medicines.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Black Diamond Therapeutics pipeline</w:t>
      </w:r>
    </w:p>
    <w:p>
      <w:pPr>
        <w:spacing w:after="0" w:line="2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We have a pipeline of orally available, potent and selective small molecule MasterKey inhibitors that target families of driver mutations in individual oncogenes for the treatment of cancer and genetic diseases. In addition to our lead program, silevertinib, our pipeline also includes an outlicensed clinical-stage product candidate and one development-stage product candidate. An overview of our pipeline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451485</wp:posOffset>
            </wp:positionV>
            <wp:extent cx="5966460" cy="2623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646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Silevertinib: a brain-penetrant, irreversible EGFR MasterKey inhibitor with potential to treat both EGFRm NSCLC and EGFR altered GBM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NSCLC</w:t>
      </w:r>
    </w:p>
    <w:p>
      <w:pPr>
        <w:spacing w:after="0" w:line="22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We believe that silevertinib has the potential to treat newly diagnosed patients with EGFRm NSCLC as well as those with recurrent disease, based upon silevertinib’s ability to address greater than 50 classical and non-classical oncogenic driver mutations with greater potency than other EGFR tyrosine kinase inhibitors (TKI’s), as well as uniquely target the C797S resistance mutation which can be acquired after treatment with osimertinib. Historically, EGFR inhibitors have demonstrated significant clinical benefit in patients with classical EGFR activating mutations and are the current frontline standard of care. However, over time, almost all patients acquire resistance and relapse. Furthermore, up to half of all NSCLC patients either have CNS metastases at diagnosis or will develop them while on treatment, which contributes to increased resistance to treatment and a poor prognosis. The majority of first and second-generation EGFR inhibitors do not adequately penetrate the CNS. While the third-generation EGFR inhibitor osimertinib has been shown to exhibit some CNS penetrance and delay the progression of CNS metastases, there are few options remaining to patients with “P-loop αC-helix compressing” mutations (PACC, a subset of non-classical mutations) that are insensitive to osimertinib. Moreover, there are no therapies approved for the treatment of patients when resistance to osimertinib presents due to the acquired resistance mutation C797S. Silevertinib has been observed to be highly brain-penetrant in the clinical setting. Silevertinib has also received Fast Track Designation from the U.S. Food and Drug Administration (FDA) for the treatment of patients with EGFR mutant C797S-positive NSCLC whose disease has progressed on/after a third-generation EGFR TKI.</w:t>
      </w:r>
    </w:p>
    <w:p>
      <w:pPr>
        <w:spacing w:after="0" w:line="17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9"/>
          <w:szCs w:val="19"/>
          <w:color w:val="auto"/>
        </w:rPr>
        <w:t>The increasing use of next-generation sequencing of newly diagnosed NSCLC tumors has revealed that 23-30% of EGFRm patients harbor one or more non-classical mutations. Based upon real-world evidence gathered in collaboration with Guardant Health, these patients have significant unmet medical needs. We presented real-world treatment outcomes for newly diagnosed NSCLC patients with non-classical EGFR mutations at the 2024 European Society for Medical Oncology (ESMO) Congress. The analyses allowed association with real-world treatment practices and therapeutic outcomes. The findings further demonstrated that current treatment practices for patients with non-classical mutations are heterogenous: 36% of patients received osimertinib or afatinib and 60% of patients received chemotherapy and/or immunotherapy. Time to treatment discontinuation for patients with non-classical mutations was &lt; 8 months, which is much shorter than the</w:t>
      </w:r>
    </w:p>
    <w:p>
      <w:pPr>
        <w:ind w:right="160" w:firstLine="8"/>
        <w:spacing w:after="0" w:line="256" w:lineRule="auto"/>
        <w:tabs>
          <w:tab w:leader="none" w:pos="16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14 months observed for patients with a classical mutation who were receiving osimertinib. Our preclinical data for silevertinib showed greater potency against these non-classical mutations, including “P-loop αC-helix compressing” mutations (PACC), than currently available EGFR TKI’s that are used either off label or for a narrowly defined set of mutations in the frontline setting.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Silevertinib is currently being studied in a Phase 2 clinical trial in patients with EGFRm NSCLC in both the frontline and recurrent settings. In the fourth quarter of 2025, we announced initial data from our Phase 2 trial of 43 frontline NSCLC patients harboring a broad spectrum of 35 distinct non-classical EGFR mutations, including 16 patients with brain metastases (7 of whom had measurable CNS target lesions). All patients were enrolled at a 200 mg oral daily dose of silevertinib. Efficacy and safety were assessed with a November 3, 2025 data cutoff and median follow-up time as of this date was 7.2 months. The study is fully enrolled and remains ongoing. The initial data from this trial was encouraging with 25 confirmed partial responses and 1 confirmed complete response equating to a 60% Objective Response Rate (ORR by RECIST 1.1). CNS ORR (by RANO-BM) was 86% and the disease control rate (DCR) was 91%. No new safety signals were observed. Adverse events (AEs) experienced by a majority of patients include rash, stomatitis, diarrhea and paronychia and were managed with standard supportive care and dose interruptions or reductions without compromising response depth or durability. As of the November 3, 2025 data cutoff, 29 patients remained on therapy (5 of 29 after progression) with one patient having been on therapy for more than 19 months. We plan to present updated results from the Phase 2 NSCLC trial, including preliminary duration of response (DOR) and progression-free survival (PFS) data in the frontline setting (43 patients) as well as updated clinical results in the recurrent setting (83 patients), at a medical meeting in the second quarter of 2026.</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GBM</w:t>
      </w:r>
    </w:p>
    <w:p>
      <w:pPr>
        <w:spacing w:after="0" w:line="2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Silevertinib has demonstrated encouraging CNS activity in multiple trials across NSCLC and GBM. In our Phase 2 clinical trial in frontline patients with EGFRm NSCLC 86% of patients achieved a confirmed CNS response. The results from our Phase 1 trial of silevertinib in patients with relapsed/recurrent GBM (presented at the American Society of Clinical Oncology (ASCO) Annual Meeting in 2024) showed encouraging duration of treatment and clinical activity, and a tolerability profile consistent with the initial safety data seen in patients with recurrent NSCLC. A Phase 0/1 “window of opportunity” study sponsored by the Ivy Brain Tumor Center in Phoenix, Arizona in patients with recurrent high-grade glioma (HGG) with EGFR alterations and/or fusions at initial diagnosis demonstrated that silevertinib exceeded the pre-specified threshold for drug concentration in the brain tumor tissue and was generally well tolerated. It also showed that silevertinib penetrates non-contrast enhancing regions of glioblastoma and suppresses EGFR signaling in patient tumors. Based on these data, together with the robust CNS ORR demonstrated by silevertinib to date in our Phase 2 trial in frontline EGFRm NSCLC patents, we believe that silevertinib is uniquely positioned as a potential treatment for patients with newly diagnosed EGFR-altered GBM. Following feedback on the study design received from the FDA in January 2026, we are preparing to initiate a randomized Phase 2 trial in this patient population in the second quarter of 2026. After a combination safety lead-in, the trial is expected to enroll approximately 150 newly diagnosed patients, randomized to receive temozolomide (TMZ) (as the control arm) or silevertinib plus TMZ (as the experimental arm). The eligible patient population will be on EGFRvIII-positive patients (approximately 30% of GBM patients) who are O-6-methylguanine-DNA methyltransferase (MGMT) -negative (unmethylated). Randomization and treatment will begin after patients have had surgical resection and radiation and are eligible for maintenance TMZ. The primary endpoint of the trial will be PFS (RANO by blinded independent committee review, or BICR), with a planned futility analysis, and an interim PFS analysis anticipated in the first half of 2028. The secondary endpoint of the trial will be overall survival (OS). The trial will be governed by an independent data monitoring committee (IDMC).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also continuing to explore potential partnership opportunities to advance silevertinib into pivotal development.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BDTX-4933: a highly selective, brain-penetrant RAF MasterKey inhibitor – global rights licensed to Servier</w:t>
      </w:r>
    </w:p>
    <w:p>
      <w:pPr>
        <w:spacing w:after="0" w:line="23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BDTX-4933 (also known as S241656) was designed to be a potent and selective, reversible oral inhibitor that targets broad families of oncogenic BRAF, KRAS and NRAS alterations. BDTX-4933 selectively targets constitutively active RAF dimers resulting from either BRAF mutations or other upstream oncogenic MAPK pathway alterations, such as KRAS and NRAS alterations. In preclinical tumor models, we observed that BDTX-4933 demonstrated brain-penetrant activity and achieved regression of tumors carrying a broad spectrum of KRAS mutations, NRAS alterations, as well as BRAF Class I, II, and III mutations. The program was in a Phase 1 clinical trial in patients with BRAF and select KRAS and NRAS mutation-positive cancers, with an emphasis on patients with non-G12C KRAS mutant NSCLC when it was outlicensed to Servier Pharmaceuticals LLC (Servier) in the first quarter of 2025. Pursuant to the license agreement, we granted to Servier a global license to develop and commercialize BDTX-4933. Under the terms of the license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FGFR Program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exploring partnership opportunities for our FGFR2/3 selective development candidate BDTX-4876.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Our vision is to build a differentiated, global biopharmaceutical company developing and commercializing novel medicines for patients with genetically defined tumors. We are advancing compounds that have been discovered through improved understanding of mutant protein conformations to (i) identify novel oncogenic driver mutations and (ii) target families of oncogenic mutations with MasterKey therapies to address a greater number of patients. Our strategy is to explore development of these compounds starting in later-line settings, and based on results, to expand development into early-line settings where patients with these mutations have few treatment options and well tolerated oral therapies have implicit advantages for patients as compared to intravenously administered chemotherapy, antibody, or conjugate-based therapies. The critical components of our strategy include:</w:t>
      </w:r>
    </w:p>
    <w:p>
      <w:pPr>
        <w:spacing w:after="0" w:line="81" w:lineRule="exact"/>
        <w:rPr>
          <w:sz w:val="20"/>
          <w:szCs w:val="20"/>
          <w:color w:val="auto"/>
        </w:rPr>
      </w:pPr>
    </w:p>
    <w:p>
      <w:pPr>
        <w:ind w:left="660" w:hanging="328"/>
        <w:spacing w:after="0" w:line="254"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Generate Phase 2 clinical trial results for silevertinib in patients with EGFRm NSCLC to enable a potential pivotal trial.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believe that the ability of silevertinib to target approximately 50 oncogenic mutations that are not sufficiently addressed by existing therapies, as well as its oral administration, tolerability profile, CNS penetrance, and clinical data generated to date, offers significant potential to treat patients with EGFRm NSCLC. We expect to seek guidance from the FDA on a potential pivotal trial design in the frontline setting, based on preliminary DOR and PFS data anticipated in the second quarter of 2026.</w:t>
      </w:r>
    </w:p>
    <w:p>
      <w:pPr>
        <w:spacing w:after="0" w:line="79" w:lineRule="exact"/>
        <w:rPr>
          <w:rFonts w:ascii="Times New Roman" w:cs="Times New Roman" w:eastAsia="Times New Roman" w:hAnsi="Times New Roman"/>
          <w:sz w:val="20"/>
          <w:szCs w:val="20"/>
          <w:color w:val="auto"/>
        </w:rPr>
      </w:pPr>
    </w:p>
    <w:p>
      <w:pPr>
        <w:ind w:left="660" w:right="200" w:hanging="328"/>
        <w:spacing w:after="0" w:line="254"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Conduct a Phase 2 clinical trial for silevertinib in newly diagnosed patients with EGFR altered GBM to support a potential pivotal study. </w:t>
      </w:r>
      <w:r>
        <w:rPr>
          <w:rFonts w:ascii="Times New Roman" w:cs="Times New Roman" w:eastAsia="Times New Roman" w:hAnsi="Times New Roman"/>
          <w:sz w:val="20"/>
          <w:szCs w:val="20"/>
          <w:color w:val="auto"/>
        </w:rPr>
        <w:t>Silevertinib has demonstrated encouraging CNS activity in multiple trials across NSCLC and GBM, and we believe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it is uniquely positioned as a potential treatment for patients with newly diagnosed EGFR-altered GBM, a disease with significant unmet need. We plan to initiate a randomized Phase 2 trial in newly diagnosed GBM patients in the second quarter of 2026, with interim efficacy data expected in the first half of 2028.</w:t>
      </w:r>
    </w:p>
    <w:p>
      <w:pPr>
        <w:spacing w:after="0" w:line="79" w:lineRule="exact"/>
        <w:rPr>
          <w:rFonts w:ascii="Times New Roman" w:cs="Times New Roman" w:eastAsia="Times New Roman" w:hAnsi="Times New Roman"/>
          <w:sz w:val="20"/>
          <w:szCs w:val="20"/>
          <w:color w:val="auto"/>
        </w:rPr>
      </w:pPr>
    </w:p>
    <w:p>
      <w:pPr>
        <w:ind w:left="660" w:right="280" w:hanging="328"/>
        <w:spacing w:after="0" w:line="255" w:lineRule="auto"/>
        <w:tabs>
          <w:tab w:leader="none" w:pos="64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Evaluate potential strategic partnerships for the pivotal development of silevertinib and to maximize the value of our pipeline. </w:t>
      </w:r>
      <w:r>
        <w:rPr>
          <w:rFonts w:ascii="Times New Roman" w:cs="Times New Roman" w:eastAsia="Times New Roman" w:hAnsi="Times New Roman"/>
          <w:sz w:val="20"/>
          <w:szCs w:val="20"/>
          <w:color w:val="auto"/>
        </w:rPr>
        <w:t>We are exploring potential partnerships for the further development of silevertinib, including a potential pivotal trial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frontline EGFRm NSCLC. We also continue to review potential partnership opportunities and strategic alternatives for our FGFR program, BDTX-4876, as well as other transactions that may provide non-dilutive funding to the company.</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history and team</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were founded in 2014 and in 2017, together with Versant Ventures, we began building the MAP drug discovery engine to profile oncogenic mutations and create MasterKey Therapies. We have assembled a team with significant expertise in drug development, with particular strength in small molecule protein kinase inhibitors and advancement of oncology drug candidates through clinical trials and regulatory approval. Mark Velleca, M.D., Ph.D., our Chairman, President and Chief Executive Officer was previously the chief executive officer of G1 Therapeutics, Inc., where he led the advancement of multiple product candidates across several therapeutic areas, including its first therapy from investigational new drug (IND) filing to FDA approval. Elizabeth Buck, Ph.D., our Chief Scientific Officer, previously led preclinical pharmacology and oncology translational research at OSI Pharmaceuticals, Inc. Sergey Yurasov, M.D., Ph.D., our Chief Medical Officer, previously served as Chief Medical Officer at Nuvation Bio. Melanie Morrison, our Chief Development Officer, previously served as Senior Vice President, Program Management and Clinical Operations at Nuvation Bio. Brent Hatzis-Schoch, our Chief Operating Officer and General Counsel, was previously General Counsel at Radius Health, Inc. and Erika Jones, our Senior Vice President of Finance and Principal Financial and Accounting Officer, previously served as the Director of Finance at Axcella Health Inc.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 candidates and development programs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a pipeline of orally available, potent and selective small molecule MasterKey therapies that target genetic drivers in several cancers.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own worldwide commercial rights to silevertinib and our FGFR2/3 selective development candidate, BDTX-4876.</w:t>
      </w:r>
    </w:p>
    <w:p>
      <w:pPr>
        <w:spacing w:after="0" w:line="203" w:lineRule="exact"/>
        <w:rPr>
          <w:sz w:val="20"/>
          <w:szCs w:val="20"/>
          <w:color w:val="auto"/>
        </w:rPr>
      </w:pPr>
    </w:p>
    <w:p>
      <w:pPr>
        <w:ind w:right="3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Silevertinib: a brain-penetrant, mutant selective, irreversible EGFR MasterKey inhibitor targeting EGFR classical, non-classical, and acquired resistance mutations in NSCLC and EGFR mutations expressed in GBM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Background and limitations of current EGFR inhibitors</w:t>
      </w:r>
    </w:p>
    <w:p>
      <w:pPr>
        <w:spacing w:after="0" w:line="23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In NSCLC, EGFR inhibitors have demonstrated significant clinical benefit in patients with classical EGFR activating mutations (Exon19del, L858R) and are the current frontline standard of care. However, over time, almost all patients acquire resistance and relapse. For the third-generation EGFR inhibitor osimertinib, acquired resistance can be associated with the acquisition of a non-classical mutation (e.g., L747P, L718Q) or acquired resistance mutation C797S, against which osimertinib is inactive. Additionally, a subset of NSCLC patients at primary diagnosis harbor non-classical EGFR mutations, including complex mutations that are poorly addressed with current therapies. Furthermore, up to half of all NSCLC patients either have CNS metastases at diagnosis or will develop them while on treatment. The majority of first- and second-generation EGFR inhibitors do not adequately penetrate the CNS, and while third-generation, brain-penetrant EGFR inhibitors such as osimertinib may delay the progression of CNS metastases, there are few options remaining to patients when resistance inevitably arises. Thus, treatment for patients who carry non-classical mutations at diagnosis or patients who have progressed on current EGFR targeted agents with acquired resistance mutations, including for patients with brain metastases, remains an area of high unmet medical need in NSCLC.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solution: silevertinib</w:t>
      </w:r>
    </w:p>
    <w:p>
      <w:pPr>
        <w:spacing w:after="0" w:line="2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Silevertinib is a potent, selective, irreversible, oral and brain-penetrant small molecule inhibitor designed to address the critical unmet need in NSCLC and GBM driven by EGFR alterations. The pharmacological activity of silevertinib was optimized to inhibit a wide spectrum of EGFR mutations that drive resistance, and to target CNS tumors through its potential for high brain exposure.</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EGFR is a potent oncogene commonly altered in many cancers, including NSCLC and GBM. EGFR mutations in NSCLC commonly impact the kinase domain, while in GBM they occur primarily in the extracellular domain. In cell-based assays, silevertinib achieved potent inhibition of families of oncogenic EGFR mutations and selectivity versus normally expressed EGFR WT as compared to osimertinib. This includes classical, non-classical, acquired resistance, and complex mutations expressed in NSCLC. Silevertinib is not a potent inhibitor of Exon20 insertions or the T790M resistance mutation. In cell-based assays, silevertinib achieved potent MasterKey inhibition of a family of oncogenic EGFR variants expressed in GBM and EGFR amplification with selectivity versus normally expressed EGFR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development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IND application for silevertinib was cleared by the FDA in the first quarter of 2022, and the first-in-human clinical trial (BDTX1535-</w:t>
      </w:r>
    </w:p>
    <w:p>
      <w:pPr>
        <w:spacing w:after="0" w:line="28" w:lineRule="exact"/>
        <w:rPr>
          <w:sz w:val="20"/>
          <w:szCs w:val="20"/>
          <w:color w:val="auto"/>
        </w:rPr>
      </w:pPr>
    </w:p>
    <w:p>
      <w:pPr>
        <w:ind w:right="100" w:firstLine="8"/>
        <w:spacing w:after="0" w:line="253" w:lineRule="auto"/>
        <w:tabs>
          <w:tab w:leader="none" w:pos="41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was also initiated in the first quarter of 2022. The Phase 1 dose escalation part of this trial enrolled patients harboring EGFR oncogenic alterations both in NSCLC and GBM and was completed in 2023. Clinical data from the dose escalation portion of the trial demonstrated promising clinical activity and a favorable tolerability profile for silevertinib in the recurrent setting.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NSCLC</w:t>
      </w:r>
    </w:p>
    <w:p>
      <w:pPr>
        <w:spacing w:after="0" w:line="21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In the third quarter of 2023, we began the silevertinib Phase 2 NSCLC clinical trial to assess ORR by RECIST 1.1 and DOR in patients with NSCLC in two initial cohorts: one cohort with the EGFR acquired resistance C797S mutation after progression on a third-generation EGFR TKI, and the other cohort in non-classical driver mutations (NCMs) after progression on an EGFR TKI, in each case with and without brain metastases.</w:t>
      </w:r>
    </w:p>
    <w:p>
      <w:pPr>
        <w:spacing w:after="0" w:line="18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In the third quarter of 2024, we announced initial data from the Phase 2 trial demonstrating encouraging clinical responses and durability of silevertinib in the second- and third-line settings. Based on an August 2024 data cutoff, a preliminary ORR of 42% was seen in 19 patients with known osimertinib resistance EGFR mutations (PACC “P-loop αC-helix compressing” and C797S mutations). Acquisition of C797S was frequently observed in patients who progressed following treatment with osimertinib. PACC mutations represent a structure-function group of non-classical oncogenic driver mutations which may accumulate or be acquired following treatment with osimertinib. Encouraging durability was noted with a DOR of approximately eight months or more in the first three patients who achieved a PR, while 14 of the 19 patients remained on treatment as of the cut-off date. The majority of adverse events were mild or moderate, and no new safety signals were observed. The most common on-target treatment-related adverse events were rash (70%) and diarrhea (35%). There were two cases of grade 3 rash, and no reported cases of grade 4 rash or grade 3/4 diarrhea. We completed enrollment of silevertinib in 83 patients with recurrent EGFRm NSCLC, and expect to report final data at a medical meeting in the second quarter of 2026.</w:t>
      </w:r>
    </w:p>
    <w:p>
      <w:pPr>
        <w:spacing w:after="0" w:line="18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9"/>
          <w:szCs w:val="19"/>
          <w:color w:val="auto"/>
        </w:rPr>
        <w:t>Following feedback from the FDA, in the first quarter of 2024, we also initiated a Phase 2 cohort in frontline patients with NSCLC harboring non-classical mutations. Enrollment in this cohort was completed in July 2025 and in December 2025, we announced initial clinical data. 43 frontline NSCLC patients were enrolled harboring a broad spectrum of 35 distinct non-classical EGFR mutations, including 16 patients with brain metastases (7 of whom had measurable CNS target lesions). All patients were enrolled at a 200mg oral daily dose of silevertinib.</w:t>
      </w:r>
    </w:p>
    <w:p>
      <w:pPr>
        <w:spacing w:after="0" w:line="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Efficacy and safety were assessed with a November 3, 2025 data cutoff and median follow-up time as of the November 2025 data cutoff was 7.2 months. ORR by RECIST 1.1 was 60% with 25 confirmed partial responses and 1 confirmed complete response. CNS ORR (by RANO-BM) was 86% and the DCR was 91%. No new safety signals were observed. AEs experienced by a majority of patients include rash, stomatitis, diarrhea and paronychia and were managed with standard supportive care and dose interruptions or reductions without compromising response depth or durability. As of the November 2025 data cutoff, 29 patients remained on therapy (5 of 29 after progression) with one patient having been on therapy for more than 19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451485</wp:posOffset>
            </wp:positionV>
            <wp:extent cx="5966460" cy="2854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540"/>
        <w:spacing w:after="0" w:line="283" w:lineRule="auto"/>
        <w:rPr>
          <w:sz w:val="20"/>
          <w:szCs w:val="20"/>
          <w:color w:val="auto"/>
        </w:rPr>
      </w:pPr>
      <w:r>
        <w:rPr>
          <w:rFonts w:ascii="Times New Roman" w:cs="Times New Roman" w:eastAsia="Times New Roman" w:hAnsi="Times New Roman"/>
          <w:sz w:val="16"/>
          <w:szCs w:val="16"/>
          <w:i w:val="1"/>
          <w:iCs w:val="1"/>
          <w:color w:val="auto"/>
        </w:rPr>
        <w:t>Data from November 3, 2025 cut. (1) Patient awaiting confirmatory scan; if confirmed, CNS ORR is 100%. 3 patients not on waterfall plot are not evaluable (NE). (2) Patients with compound mutations are classified as “PACC” if at least one PACC mutation is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197485</wp:posOffset>
            </wp:positionV>
            <wp:extent cx="5966460" cy="27857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646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i w:val="1"/>
          <w:iCs w:val="1"/>
          <w:color w:val="auto"/>
        </w:rPr>
        <w:t>Data from November 3, 2025 cut. (1) Patients with compound mutations are classified as “PACC” if at least one PACC mutation is present.</w:t>
      </w:r>
    </w:p>
    <w:p>
      <w:pPr>
        <w:spacing w:after="0" w:line="214" w:lineRule="exact"/>
        <w:rPr>
          <w:sz w:val="20"/>
          <w:szCs w:val="20"/>
          <w:color w:val="auto"/>
        </w:rPr>
      </w:pPr>
    </w:p>
    <w:p>
      <w:pPr>
        <w:ind w:right="220"/>
        <w:spacing w:after="0" w:line="283" w:lineRule="auto"/>
        <w:rPr>
          <w:sz w:val="20"/>
          <w:szCs w:val="20"/>
          <w:color w:val="auto"/>
        </w:rPr>
      </w:pPr>
      <w:r>
        <w:rPr>
          <w:rFonts w:ascii="Times New Roman" w:cs="Times New Roman" w:eastAsia="Times New Roman" w:hAnsi="Times New Roman"/>
          <w:sz w:val="20"/>
          <w:szCs w:val="20"/>
          <w:color w:val="auto"/>
        </w:rPr>
        <w:t>We plan to present updated results from the Phase 2 NSCLC trial, including DOR and PFS data in the frontline setting (43 patients), at a medical meeting in the second quarter of 2026.</w:t>
      </w: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60" w:right="5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GBM</w:t>
      </w:r>
    </w:p>
    <w:p>
      <w:pPr>
        <w:spacing w:after="0" w:line="2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GBM is a difficult-to-treat, aggressive malignancy of the central nervous system. Standard therapy at diagnosis consists of surgical resection followed by radiation and chemotherapy. Prognosis remains poor, with only approximately 25% of newly diagnosed patients surviving two years or longer after diagnosis. At the time of diagnosis, approximately 52% of GBM tumors express one or more EGFR oncogenic alterations that affect the extracellular region of the receptor tyrosine kinase, consequently promoting oncogenic activation. We believe that current targeted therapies have been unsuccessful in treating GBM due to (i) the concurrent expression of different EGFR oncogenic alterations within individual patients, (ii) insufficient drug potency across different EGFR oncogenic alterations, (iii) paradoxical activation of mutant EGFR commonly found in GBM by earlier-generation inhibitors, and (iv) low levels of brain penetration. In preclinical models, we have shown that the mechanism of activation for these EGFR oncogenic alterations involves the formation of a constitutive dimer that exhibits a conformation leading to ligand-independent signaling shared by a family of extracellular domain EGFR alterations expressed in GBM. Silevertinib was designed to overcome these challenges and address the significant unmet need for new treatments for patients with GBM.</w:t>
      </w:r>
    </w:p>
    <w:p>
      <w:pPr>
        <w:spacing w:after="0" w:line="186"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0"/>
          <w:szCs w:val="20"/>
          <w:color w:val="auto"/>
        </w:rPr>
        <w:t>In the fourth quarter of 2023, we announced dose escalation results in 22 patients with GBM demonstrating clinical activity in heavily pre-treated patients, including 1 confirmed partial response and 8 patients with stable disease among 19 patients with measurable disease by RANO criteria. Of 22 patients evaluable for efficacy, 3 patients were shown to be on therapy longer than 10 months, 1 patient longer than 6 months, and 5 patients longer than 4 months. Importantly, historical PFS in this population is expected to last approximate 2-4 months. Silevertinib was shown to be generally well tolerated, with no new safety signals observed.</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In the second quarter of 2024, at the ASCO Annual Meeting, we presented preliminary data from the Phase 1 trial of silevertinib in patients with relapsed/recurrent GBM, demonstrating encouraging duration of treatment and clinical activity, and a tolerability profile consistent with the initial safety data released in 2023.</w:t>
      </w:r>
    </w:p>
    <w:p>
      <w:pPr>
        <w:spacing w:after="0" w:line="1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Also, in the second quarter of 2024, initial results were presented at the ASCO Annual Meeting from an investigator (Ivy Brain Tumor Center) sponsored Phase 0/1 “window of opportunity” trial of silevertinib in patients with recurrent high-grade glioma with EGFR alterations and/or fusions at initial diagnosis and who underwent surgical intracranial tumor resection. The data presented demonstrated that silevertinib exceeded the pre-specified threshold for drug concentration in the brain tumor tissue and was generally well tolerated with expected EGFR-mediated side effects. Additional promising results from this trial were presented by the Ivy Brain Tumor Center at the European Association of Neuro-Oncology (EANO) annual meeting in the fourth quarter of 2024, and at the EANO, the Society of Neuro-Oncology (SNO), and the American Association for Cancer Research (AACR) annual meetings in 2025. These data demonstrated that silevertinib penetrates non-contrast enhancing regions of glioblastoma and suppresses EGFR signaling in patient tumors. In March 2025, the Phase 0/1 trial was modified by the Ivy Brain Tumor Center to include newly diagnosed GBM patients with EGFR alterations.</w:t>
      </w:r>
    </w:p>
    <w:p>
      <w:pPr>
        <w:spacing w:after="0" w:line="176"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Based on these data and together with the robust CNS ORR demonstrated by silevertinib to date in our Phase 2 trial in frontline EGFRm NSCLC patents, we believe that silevertinib is uniquely positioned as a potential treatment for patients with newly diagnosed EGFR-altered GBM. Following feedback on the study design received from the FDA in January 2026, we are preparing to initiate a randomized Phase 2 trial in this patient population in the second quarter of 2026. After a combination safety lead-in of silevertinib plus temozolomide (TMZ), the trial is expected to enroll approximately 150 newly diagnosed patients, randomized to receive TMZ (as the control arm) or silevertinib plus TMZ (as the experimental arm). The eligible patient population will be on EGFRvIII-positive patients (approximately 30% of GBM patients) who are O-6-methylguanine-DNA methyltransferase (MGMT) -negative (unmethylated). Randomization and treatment will begin after patients have had surgical resection and radiation and are eligible for maintenance TMZ.</w:t>
      </w:r>
    </w:p>
    <w:p>
      <w:pPr>
        <w:spacing w:after="0" w:line="195"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The primary endpoint of the trial will be PFS (RANO by BICR), with a planned futility analysis, and an interim PFS analysis anticipated in the first half of 2028. The secondary endpoint of the trial will be OS. The trial will be governed by an IDMC.</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Early-stage programs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FGFR program</w:t>
      </w:r>
    </w:p>
    <w:p>
      <w:pPr>
        <w:spacing w:after="0" w:line="220"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20"/>
          <w:szCs w:val="20"/>
          <w:color w:val="auto"/>
        </w:rPr>
        <w:t>Oncogenic mutations affecting FGFR2 and FGFR3 (including short variant point mutations and fusions) are expressed across a range of cancers such as bladder and cholangiocarcinoma. While these mutations have been targeted by three first-generation pan-FGFR inhibitors (erdafitinib, pemigatinib and infigratinib), clinical success has been hindered by dose limiting toxicities related to on-target inhibition of FGFR1, which causes hyperphosphatemia and the need for significant dose interruptions and dose reductions, and even discontinuation. These limitations curtail the efficacy of current-generation FGFR targeted therapies.</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BDTX-4876 is a MasterKey inhibitor of oncogenic FGFR 2 /3 mutations with selectivity versus FGFR1/4. In preclinical tumor models dose dependent tumor regression was demonstrated, and bone growth was also observed in a preclinical model supporting the potential development of BDTX-4876 in musculoskeletal dysplasia. We are currently exploring potential partnerships for further development of this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2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industry is intensely competitive and subject to rapid and significant technological change.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face competition with respect to our current product candidate and will face competition with respect to our future product candidates, from segments of the pharmaceutical, biotechnology and other related markets that pursue targeted therapies for patients with genetically defined cancers. There are currently compounds approved and in development which target the EGFR pathway and against which we expect silevertinib to compete, including:</w:t>
      </w:r>
    </w:p>
    <w:p>
      <w:pPr>
        <w:spacing w:after="0" w:line="79" w:lineRule="exact"/>
        <w:rPr>
          <w:sz w:val="20"/>
          <w:szCs w:val="20"/>
          <w:color w:val="auto"/>
        </w:rPr>
      </w:pPr>
    </w:p>
    <w:p>
      <w:pPr>
        <w:ind w:left="660" w:hanging="328"/>
        <w:spacing w:after="0" w:line="25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with EGFR acquired resistance: combination of amivantamab, or Rybrevant, and lazertinib, or Lazcluze, which is marketed by Janssen Biotech, Inc.; patritumab deruxtecan, which is under development by Merck and Daiichi Sankyo Co.; datopotamab deruxtecan, which is developed by AstraZeneca plc and Daiichi Sankyo Co.; ivonescimab, which is under development by Summit Therapeutics and Akeso; TAS3351, which is under development by Taiho Oncology; BBT-207, which is under development by Bridge Biotherapeutics, Inc.; and JIN-A02, which is under development by J Ints Bio.</w:t>
      </w:r>
    </w:p>
    <w:p>
      <w:pPr>
        <w:spacing w:after="0" w:line="83" w:lineRule="exact"/>
        <w:rPr>
          <w:rFonts w:ascii="Times New Roman" w:cs="Times New Roman" w:eastAsia="Times New Roman" w:hAnsi="Times New Roman"/>
          <w:sz w:val="20"/>
          <w:szCs w:val="20"/>
          <w:color w:val="auto"/>
        </w:rPr>
      </w:pPr>
    </w:p>
    <w:p>
      <w:pPr>
        <w:ind w:left="660" w:hanging="328"/>
        <w:spacing w:after="0" w:line="253"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with EGFR non-classical mutations: afatinib, or Gilotrif, which is marketed by Boehringer Ingelheim and approved as frontline treatment of NSCLC patients with S768I, L861Q, and/or G719X mutations; osimertinib, or Tagrisso, which is marketed by AstraZeneca plc and is being prescribed off-label for NSCLC patients with exon 18 mutations; firmonertinib, which is under development by ArriVent Biopharma, Inc. and Shanghai Allist Pharmaceuticals Co. Ltd.; ORIC-114, which is under development by ORIC Pharmaceuticals, Inc.; zipalertinib, which is under development by Taiho Oncology, Inc. and Cullinan Therapeutics, Inc.; and BH-30643, which is under development by BlossomHill Therapeutics, Inc.</w:t>
      </w:r>
    </w:p>
    <w:p>
      <w:pPr>
        <w:spacing w:after="0" w:line="84" w:lineRule="exact"/>
        <w:rPr>
          <w:rFonts w:ascii="Times New Roman" w:cs="Times New Roman" w:eastAsia="Times New Roman" w:hAnsi="Times New Roman"/>
          <w:sz w:val="20"/>
          <w:szCs w:val="20"/>
          <w:color w:val="auto"/>
        </w:rPr>
      </w:pPr>
    </w:p>
    <w:p>
      <w:pPr>
        <w:ind w:left="660" w:right="980" w:hanging="328"/>
        <w:spacing w:after="0" w:line="269" w:lineRule="auto"/>
        <w:tabs>
          <w:tab w:leader="none" w:pos="648"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patients with EGFR alterations present in GBM: WSD-0922-FU, which is under development by Wayshine Biopharm International Ltd.; and TAS-2940, which is under development by Taiho Oncology, Inc.</w:t>
      </w:r>
    </w:p>
    <w:p>
      <w:pPr>
        <w:spacing w:after="0" w:line="173"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20"/>
          <w:szCs w:val="20"/>
          <w:color w:val="auto"/>
        </w:rPr>
        <w:t>In addition, there are other small molecule and precision oncology-focused companies with whom we may eventually compete, including Lilly Loxo Oncology; Voronoi, Inc.; Deciphera Pharmaceuticals, Inc. (acquired by Ono Pharmaceutical Co., Ltd.); Verastem, Inc.; Relay Therapeutics, Inc.; Taiho Oncology, Inc.; Bayer AG; and Incyte Corp.</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 In addition, we will likely need to develop our product candidates in collaboration with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9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a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8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acquisition or licensing of pharmaceutical products is also very competitive. If we seek to acquire or license products, we will face substantial competition from a number of more established companies, some of which have acknowledged strategies to license or acquire products and many of which are bigger than us and have more institutional experience and greater cash flows than we have. These more established companies may have competitive advantages over us, as may other emerging companies taking similar or different approaches to product licenses and/or acquisitions. In addition, a number of established research-based pharmaceutical and biotechnology companies may acquire products in late stages of development to augment their internal product lines, which may provide those companies with an even greater competitive advantage.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2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We do not own or operate, and currently have no plans to establish, any manufacturing facilities.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8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9"/>
          <w:szCs w:val="19"/>
          <w:color w:val="auto"/>
        </w:rPr>
        <w:t>All of our product candidates are small molecules and are manufactured via synthetic processes from available starting materials. The chemistry appears amenable to scale up and does not currently require unusual equipment in the manufacturing process. We expect to continue to develop product candidates that can be produced cost-effectively at third-party contract manufacturing organizations (CMOs).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22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who are the key specialists in treating the patient populations for which our product candidates are being developed. Outside the United States, we may enter into distribution and other marketing arrangements with third parties for any of our product candidates that obtain marketing approval.</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color w:val="auto"/>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are considered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7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and any issued patents we may obtain do not guarantee us the right to practice our technology in relation to the commercialization of our products. We also cannot predict the breadth of claims that may be allowed or enforced in any patents we may own or in-license in the future. Any issued patents that we own, or may own or in-license in the future may be challenged, invalidated, circumvented or have the scope of their claims narrowed. For example, we cannot be certain of the priority of inventions covered by pending third-party patent applications. If third parties prepare and file patent applications in the United States that also claim technology or therapeutics to which we have rights, we may have to participate in interference proceedings in the U.S. Patent and Trademark Office (USPTO) to determine priority of invention, which could result in substantial costs to us, even if the eventual outcome is favorable to us, which is highly unpredictable.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filed patent. 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total patent term, including the restoration period, must not exceed 14 years following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 In the future, if our product candidates receive approval by the FDA, we expect to apply for patent term extensions on any issued patents covering those products, depending upon the length of the clinical studies for each product and other factors. There can be no assurance that our pending patent applications will issue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As of March 11, 2026, we own four U.S. provisional patent applications, eight U.S. patent applications, and two issued U.S. patents. We also own nine Patent Cooperation Treaty (PCT) patent applications, 127 foreign patent applications, and 18 issued foreign patents. Any U.S. or foreign patent issuing from these patent applications would be scheduled to expire from 2039 to 2046, excluding any additional term for patent term adjustment or patent term extension, and assuming that conversions are timely made based upon U.S. provisional patent applications, that national phase entries are timely made based upon the pending PCT applications, and the payment of all applicable maintenance or annuity fees. Below is an overview of patent applications covering silevertinib (formerly BDTX-1535), BDTX-4933, BDTX-4876, and our MAP drug discovery engine.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Silevertinib</w:t>
      </w:r>
    </w:p>
    <w:p>
      <w:pPr>
        <w:spacing w:after="0" w:line="22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As of March 11, 2026, we own four U.S. provisional patent applications, four U.S. patent applications, one issued U.S. patent, six PCT patent applications, 51 foreign patent applications, and 17 issued foreign patents that cover our non-small cell lung cancer and glioblastoma program, including the composition of matter for silevertinib, metabolites of silevertinib, formulation of silevertinib, polymorphs of silevertinib, as well as methods of using and making silevertinib. Any U.S. or foreign patent issued from these pending applications would be scheduled to expire between 2040 and 2046, assuming that conversions are timely made based upon U.S. provisional patent applications, and that national phase entries are timely made based upon the pending PCT applications, excluding any additional term for patent term adjustment or patent term extension.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BDTX-4933</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 of March 11, 2026, we own two U.S. patent applications, two PCT patent applications, and 66 foreign patent applications that cover the BRAF program licensed to Servier pursuant to the license agreement entered in the first quarter of 2025, including the composition of matter for BDTX-4933, polymorphs of BDTX-4933, formulations of BDTX-4933, as well as methods of using and making BDTX-4933. Any U.S. or foreign patent issued from these pending applications would be scheduled to expire between 2042 and 2045, assuming that conversions are timely made based upon U.S. provisional patent applications, and that national phase entries are timely made based upon the pending PCT applications, excluding any additional term for patent term adjustment or patent term extension.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BDTX-4876</w:t>
      </w:r>
    </w:p>
    <w:p>
      <w:pPr>
        <w:spacing w:after="0" w:line="23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As of March 11, 2026, we own one U.S. patent application, one PCT patent application, ten foreign patent applications, and one foreign patent that cover our FGFR program, including the composition of matter for BDTX-4876, polymorphs of BDTX-4876, as well as methods of using and making BDTX-4876. Any U.S. or foreign patent issued from these pending applications would be scheduled to expire between 2042 and 2044, assuming that conversions are timely made based upon U.S. provisional patent applications, and that national phase entries are timely made based upon the pending PCT applications, excluding any additional term for patent term adjustment or patent term extension.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MAP drug discovery engine</w:t>
      </w:r>
    </w:p>
    <w:p>
      <w:pPr>
        <w:spacing w:after="0" w:line="2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As of March 11, 2026, we own one U.S. patent application that covers our MAP drug discovery engine and the use thereof in developing and applying therapeutics. Any U.S. patent issued from this U.S. patent application would be scheduled to expire in 2040, excluding any additional term for patent term adjustment or patent term extension.</w:t>
      </w:r>
    </w:p>
    <w:p>
      <w:pPr>
        <w:spacing w:after="0" w:line="18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Prosecution is a lengthy process, during which the scope of the claims initially submitted for examination by the USPTO are often significantly narrowed by the time they issue, if they issue at all. Any of our pending PCT patent applications are not eligible to become issued patents until, among other things, we file national stage patent applications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Our provisional patent applications may never result in issued patents and are not eligible to become issued patents until, among other things, we file a non-provisional patent application within 12 months of filing the related provisional patent application.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and national stage patent applications relating to our provisional and PCT patent applications, we cannot predict whether any of our future patent applications for silevertinib, BDTX-4933, BDTX-4876, or any of our other product candidates or technology will result in the issuance of patents that effectively protect silevertinib, BDTX-4933, BDTX-4876, or our other product candidates or technology. If we do not successfully obtain patent protection, or, even if we do obtain patent protection, if the scope of the patent protection we or our potential licensors obtain with respect to silevertinib, BDTX-4933, BDTX-4876, or our other product candidates or technology is not sufficiently broad, we will be unable to prevent others from using our technology or from developing or commercializing technology and products similar or identical to ours or other competing products and technologies. For more information regarding the risks related to our intellectual property, please see “Risk Factors—Risks Related to our Intellectual Property.”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In addition to patent applications, we rely on unpatented trade secrets, know-how and continuing technological innovation to develop and maintain our competitive position. However, trade secrets and confidential know-how are difficult to protect. In particular, we anticipate that with respect to the building of our compound library, our trade secrets and know-how will over time be disseminated within the industry through independent development and public presentations describing the methodology.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consultants,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collaborator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 Risks Related to our Intellectual Property.”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including the European Union (EU),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drugs. We, along with our vendors, contract research organizations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95"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color w:val="auto"/>
        </w:rPr>
        <w:t>In the United States, where we are initially focusing our drug development, the FDA regulates drug products under the U.S. Federal Food, Drug and Cosmetic Act (FD&amp;C Act), its implementing regulations and other laws. Our product candidates are early-stage and none of our product candidates has been approved by the FDA for marketing in the United States.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 brought by the FDA and the U.S. Department of Justice or other governmental entities.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process required by the FDA before our product candidates are approved as drugs for therapeutic indications and may be marketed in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 generally involves the following:</w:t>
      </w:r>
    </w:p>
    <w:p>
      <w:pPr>
        <w:spacing w:after="0" w:line="92" w:lineRule="exact"/>
        <w:rPr>
          <w:sz w:val="20"/>
          <w:szCs w:val="20"/>
          <w:color w:val="auto"/>
        </w:rPr>
      </w:pPr>
    </w:p>
    <w:p>
      <w:pPr>
        <w:ind w:left="660" w:right="20" w:hanging="328"/>
        <w:spacing w:after="0" w:line="283" w:lineRule="auto"/>
        <w:tabs>
          <w:tab w:leader="none" w:pos="648"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completion of extensive preclinical studies in accordance with applicable regulations, including studies conducted in accordance with GLP requirements;</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an IND application, which must become effective before clinical trials may begin;</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60" w:right="180" w:hanging="328"/>
        <w:spacing w:after="0" w:line="283"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by an Institutional Review Board (IRB) or independent ethics committee at each clinical trial site before each trial may be initiated;</w:t>
      </w:r>
    </w:p>
    <w:p>
      <w:pPr>
        <w:spacing w:after="0" w:line="38" w:lineRule="exact"/>
        <w:rPr>
          <w:rFonts w:ascii="Times New Roman" w:cs="Times New Roman" w:eastAsia="Times New Roman" w:hAnsi="Times New Roman"/>
          <w:sz w:val="20"/>
          <w:szCs w:val="20"/>
          <w:color w:val="auto"/>
        </w:rPr>
      </w:pPr>
    </w:p>
    <w:p>
      <w:pPr>
        <w:ind w:left="660" w:right="220" w:hanging="328"/>
        <w:spacing w:after="0" w:line="261"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performance of adequate and well-controlled clinical trials in accordance with applicable IND regulations, good clinical practice (GCP) requirements and other clinical trial-related regulations to establish the safety and efficacy of the investigational product for each proposed indication;</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submission to the FDA of a New Drug Application (NDA);</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determination by the FDA within 60 days of its receipt of an NDA, to accept the filing for review;</w:t>
      </w:r>
    </w:p>
    <w:p>
      <w:pPr>
        <w:spacing w:after="0" w:line="107" w:lineRule="exact"/>
        <w:rPr>
          <w:rFonts w:ascii="Times New Roman" w:cs="Times New Roman" w:eastAsia="Times New Roman" w:hAnsi="Times New Roman"/>
          <w:sz w:val="20"/>
          <w:szCs w:val="20"/>
          <w:color w:val="auto"/>
        </w:rPr>
      </w:pPr>
    </w:p>
    <w:p>
      <w:pPr>
        <w:ind w:left="660" w:right="200" w:hanging="328"/>
        <w:spacing w:after="0" w:line="261"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satisfactory completion of one or more FDA pre-approval inspections of the manufacturing facility or facilities where the drug will be produced to assess compliance with current good manufacturing practices, or cGMP, requirements to assure that the facilities, methods and controls are adequate to preserve the drug’s identity, strength, quality and purity;</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FDA audit of the clinical trial sites that generated the data in support of the NDA;</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user fees for FDA review of the NDA; and</w:t>
      </w:r>
    </w:p>
    <w:p>
      <w:pPr>
        <w:spacing w:after="0" w:line="107" w:lineRule="exact"/>
        <w:rPr>
          <w:rFonts w:ascii="Times New Roman" w:cs="Times New Roman" w:eastAsia="Times New Roman" w:hAnsi="Times New Roman"/>
          <w:sz w:val="20"/>
          <w:szCs w:val="20"/>
          <w:color w:val="auto"/>
        </w:rPr>
      </w:pPr>
    </w:p>
    <w:p>
      <w:pPr>
        <w:ind w:left="660" w:right="920" w:hanging="328"/>
        <w:spacing w:after="0" w:line="283" w:lineRule="auto"/>
        <w:tabs>
          <w:tab w:leader="none" w:pos="64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review and approval of the NDA, including consideration of the views of any FDA advisory committee, prior to any commercial marketing or sale of the drug in the United States.</w:t>
      </w:r>
    </w:p>
    <w:p>
      <w:pPr>
        <w:spacing w:after="0" w:line="146"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The testing and approval process requires substantial time, effort and financial resources, and we cannot be certain that any approvals for our product candidates will be granted on a timely basis, if at all.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and clinical trials for drugs</w:t>
      </w:r>
    </w:p>
    <w:p>
      <w:pPr>
        <w:spacing w:after="0" w:line="22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 xml:space="preserve">Before testing any drug in humans, the product candidate must undergo rigorous preclinical testing. Preclinical studies include laboratory evaluations of drug chemistry, formulation and stability, as well as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animal studies to assess safety and in some cases to establish the rationale for therapeutic use. The conduct of preclinical studies is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 A separate submission to an existing IND must also be made for each successive clinical trial conducted during product development of a product candidate, and the FDA must grant permission, either explicitly or implicitly by not objecting, before each clinical trial can begin.</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clinical trials results, must be submitted within specific timeframes for publication on the www.clinicaltrials.gov website.</w:t>
      </w:r>
    </w:p>
    <w:p>
      <w:pPr>
        <w:spacing w:after="0" w:line="19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While we plan to conduct any international clinical trials under our INDs we obtain with the FDA in the future, a sponsor who wishes to conduct a clinical trial outside of the United States may, but need not, obtain FDA authorization to conduct the clinical trial under an IND. If a foreign clinical trial is not conducted under an IND, the sponsor must submit data from the clinical trial to the FDA in support of an NDA.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7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Clinical trials to evaluate therapeutic indications to support NDAs for marketing approval are typically conducted in three sequential phases, which may overlap.</w:t>
      </w:r>
    </w:p>
    <w:p>
      <w:pPr>
        <w:spacing w:after="0" w:line="61" w:lineRule="exact"/>
        <w:rPr>
          <w:sz w:val="20"/>
          <w:szCs w:val="20"/>
          <w:color w:val="auto"/>
        </w:rPr>
      </w:pPr>
    </w:p>
    <w:p>
      <w:pPr>
        <w:ind w:left="660" w:right="20" w:hanging="328"/>
        <w:spacing w:after="0" w:line="260"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Phase 1</w:t>
      </w:r>
      <w:r>
        <w:rPr>
          <w:rFonts w:ascii="Times New Roman" w:cs="Times New Roman" w:eastAsia="Times New Roman" w:hAnsi="Times New Roman"/>
          <w:sz w:val="20"/>
          <w:szCs w:val="20"/>
          <w:color w:val="auto"/>
        </w:rPr>
        <w:t>—Phase 1 clinical trials involve initial introduction of the investigational product into healthy human volunteers or patients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56" w:lineRule="exact"/>
        <w:rPr>
          <w:rFonts w:ascii="Times New Roman" w:cs="Times New Roman" w:eastAsia="Times New Roman" w:hAnsi="Times New Roman"/>
          <w:sz w:val="20"/>
          <w:szCs w:val="20"/>
          <w:color w:val="auto"/>
        </w:rPr>
      </w:pPr>
    </w:p>
    <w:p>
      <w:pPr>
        <w:ind w:left="660" w:right="120" w:hanging="328"/>
        <w:spacing w:after="0" w:line="263"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Phase 2</w:t>
      </w:r>
      <w:r>
        <w:rPr>
          <w:rFonts w:ascii="Times New Roman" w:cs="Times New Roman" w:eastAsia="Times New Roman" w:hAnsi="Times New Roman"/>
          <w:sz w:val="20"/>
          <w:szCs w:val="20"/>
          <w:color w:val="auto"/>
        </w:rPr>
        <w:t>—Phase 2 clinical trials typically involve administration of the investigational product to a limited patient population with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specified disease or condition to evaluate the preliminary efficacy, optimal dosages and dosing schedule and to identify possible adverse side effects and safety risks.</w:t>
      </w:r>
    </w:p>
    <w:p>
      <w:pPr>
        <w:spacing w:after="0" w:line="67" w:lineRule="exact"/>
        <w:rPr>
          <w:rFonts w:ascii="Times New Roman" w:cs="Times New Roman" w:eastAsia="Times New Roman" w:hAnsi="Times New Roman"/>
          <w:sz w:val="20"/>
          <w:szCs w:val="20"/>
          <w:color w:val="auto"/>
        </w:rPr>
      </w:pPr>
    </w:p>
    <w:p>
      <w:pPr>
        <w:ind w:left="660" w:right="80" w:hanging="328"/>
        <w:spacing w:after="0" w:line="260" w:lineRule="auto"/>
        <w:tabs>
          <w:tab w:leader="none" w:pos="64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Phase 3</w:t>
      </w:r>
      <w:r>
        <w:rPr>
          <w:rFonts w:ascii="Times New Roman" w:cs="Times New Roman" w:eastAsia="Times New Roman" w:hAnsi="Times New Roman"/>
          <w:sz w:val="20"/>
          <w:szCs w:val="20"/>
          <w:color w:val="auto"/>
        </w:rPr>
        <w:t>—Phase 3 clinical trials typically involve administration of the investigational product to an expanded patient population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w:t>
      </w:r>
    </w:p>
    <w:p>
      <w:pPr>
        <w:spacing w:after="0" w:line="17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marketing approval for drugs</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The marketing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United States.</w:t>
      </w:r>
    </w:p>
    <w:p>
      <w:pPr>
        <w:spacing w:after="0" w:line="1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7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color w:val="auto"/>
        </w:rPr>
        <w:t>Further, under PDUFA, as amended, each NDA must be accompanied by a user fee.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20"/>
          <w:szCs w:val="20"/>
          <w:color w:val="auto"/>
        </w:rPr>
        <w:t>The FDA also may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risk-minimization tools.</w:t>
      </w:r>
    </w:p>
    <w:p>
      <w:pPr>
        <w:spacing w:after="0" w:line="18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Sponsor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 and exclusivity</w:t>
      </w:r>
    </w:p>
    <w:p>
      <w:pPr>
        <w:spacing w:after="0" w:line="233"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9"/>
          <w:szCs w:val="19"/>
          <w:color w:val="auto"/>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the product available in the United States for the disease or condition will be recovered from sales of the product. Orphan designation must be requested before submitting an NDA.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approved use or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approved use or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Rare pediatric disease designation and priority review vouchers</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Under the FD&amp;C Act, the FDA incentivizes the development of drugs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for such disease or condition will be received from sales in the United States of such drug. The sponsor of a product candidate for a rare pediatric disease may be eligible for a voucher that can be used to obtain a priority review for a subsequent human drug application after the date of approval of the rare pediatric disease drug product, referred to as a priority review voucher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Under current law, after September 30, 2029, the FDA may not award any rare pediatric disease priority vouchers, although the FDA’s authority to do so could be extended by Congress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 for drugs</w:t>
      </w:r>
    </w:p>
    <w:p>
      <w:pPr>
        <w:spacing w:after="0" w:line="2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w:t>
      </w:r>
    </w:p>
    <w:p>
      <w:pPr>
        <w:spacing w:after="0" w:line="17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 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must review an application in six months compared to ten months for a standard review. 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7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Accelerated approval is usually contingent on a sponsor’s agreement to conduct additional post-approval studies to verify and describe the product’s clinical benefit. Under the Food and Drug Omnibus Reform Act of 2022 (FDORA), the FDA may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FDA, that all advertising and promotional materials that are intended for dissemination or publication within 120 days following marketing approval be submitted to the agency for review during the pre-approval review period. Additionally, after 120 days following marketing approval, all advertising and promotional materials must be submitted at least 30 days prior to the intended time of initial dissemination or publication.</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information and pediatric exclusivity</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Under the Pediatric Research Equity Act (PREA),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(FDASIA) amended the FD&amp;C Act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post-approval requirements for drugs</w:t>
      </w:r>
    </w:p>
    <w:p>
      <w:pPr>
        <w:spacing w:after="0" w:line="23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Drugs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8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20"/>
          <w:szCs w:val="20"/>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w:t>
      </w:r>
    </w:p>
    <w:p>
      <w:pPr>
        <w:spacing w:after="0" w:line="18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prescription drug product program user fee.</w:t>
      </w:r>
    </w:p>
    <w:p>
      <w:pPr>
        <w:spacing w:after="0" w:line="176" w:lineRule="exact"/>
        <w:rPr>
          <w:sz w:val="20"/>
          <w:szCs w:val="20"/>
          <w:color w:val="auto"/>
        </w:rPr>
      </w:pPr>
    </w:p>
    <w:p>
      <w:pPr>
        <w:jc w:val="both"/>
        <w:ind w:right="340"/>
        <w:spacing w:after="0" w:line="258" w:lineRule="auto"/>
        <w:rPr>
          <w:sz w:val="20"/>
          <w:szCs w:val="20"/>
          <w:color w:val="auto"/>
        </w:rPr>
      </w:pPr>
      <w:r>
        <w:rPr>
          <w:rFonts w:ascii="Times New Roman" w:cs="Times New Roman" w:eastAsia="Times New Roman" w:hAnsi="Times New Roman"/>
          <w:sz w:val="20"/>
          <w:szCs w:val="20"/>
          <w:color w:val="auto"/>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78"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restrictions on the marketing or manufacturing of the product, complete withdrawal of the product from the market or product recalls;</w:t>
      </w:r>
    </w:p>
    <w:p>
      <w:pPr>
        <w:spacing w:after="0" w:line="119" w:lineRule="exact"/>
        <w:rPr>
          <w:rFonts w:ascii="Times New Roman" w:cs="Times New Roman" w:eastAsia="Times New Roman" w:hAnsi="Times New Roman"/>
          <w:sz w:val="19"/>
          <w:szCs w:val="19"/>
          <w:color w:val="auto"/>
        </w:rPr>
      </w:pPr>
    </w:p>
    <w:p>
      <w:pPr>
        <w:ind w:left="660" w:right="920" w:hanging="328"/>
        <w:spacing w:after="0" w:line="283"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alerts, Dear Healthcare Provider letters, press releases or other communications containing warnings or other safety information about the product;</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21" w:lineRule="exact"/>
        <w:rPr>
          <w:rFonts w:ascii="Times New Roman" w:cs="Times New Roman" w:eastAsia="Times New Roman" w:hAnsi="Times New Roman"/>
          <w:sz w:val="20"/>
          <w:szCs w:val="20"/>
          <w:color w:val="auto"/>
        </w:rPr>
      </w:pPr>
    </w:p>
    <w:p>
      <w:pPr>
        <w:ind w:left="660" w:right="800" w:hanging="328"/>
        <w:spacing w:after="0" w:line="283"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of the FDA to approve applications or supplements to approved applications, or suspension or revocation of product approvals;</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products;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 and</w:t>
      </w:r>
    </w:p>
    <w:p>
      <w:pPr>
        <w:spacing w:after="0" w:line="107"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 or mandated modification of promotional materials and labeling and issuance of corrective information.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regulatory matters</w:t>
      </w:r>
    </w:p>
    <w:p>
      <w:pPr>
        <w:spacing w:after="0" w:line="2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and privacy laws</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fraud and abuse and other healthcare laws and regulations that may constrain the business or financial arrangements and relationships through which we develop, market, sell and distribute any drugs for which we obtain marketing approval. In the United States, these laws include, without limitation, state and federal anti-kickback, false claims, physician transparency, and patient data privacy and security laws and regulations, including but not limited to those described below.</w:t>
      </w:r>
    </w:p>
    <w:p>
      <w:pPr>
        <w:spacing w:after="0" w:line="56" w:lineRule="exact"/>
        <w:rPr>
          <w:sz w:val="20"/>
          <w:szCs w:val="20"/>
          <w:color w:val="auto"/>
        </w:rPr>
      </w:pPr>
    </w:p>
    <w:p>
      <w:pPr>
        <w:ind w:left="660" w:hanging="328"/>
        <w:spacing w:after="0" w:line="266" w:lineRule="auto"/>
        <w:tabs>
          <w:tab w:leader="none" w:pos="64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Anti-Kickback Statute, which prohibits, among other things, persons and entities from knowingly and willfully soliciting, offering, receiving, paying or providing remuneration (including any kickback, bribe, or rebate), directly or indirectly in cash or in kind, to induce or reward either the referral of an individual for, or the purchase, lease, order, arrangement or recommendation of, any good, facility, item or service, for which payment may be made, in whole or in part, under federal and state healthcare programs such as Medicare and Medicaid. A person or entity does not need to have actual knowledge of the federal Anti-Kickback Statute (AKS)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AKS constitutes a false or fraudulent claim for purposes of the federal False Claims Act (FCA) or federal civil money penalties. There are a number of statutory exceptions and regulatory safe harbors protecting some common activities from prosecution.</w:t>
      </w:r>
    </w:p>
    <w:p>
      <w:pPr>
        <w:spacing w:after="0" w:line="62" w:lineRule="exact"/>
        <w:rPr>
          <w:rFonts w:ascii="Times New Roman" w:cs="Times New Roman" w:eastAsia="Times New Roman" w:hAnsi="Times New Roman"/>
          <w:sz w:val="19"/>
          <w:szCs w:val="19"/>
          <w:color w:val="auto"/>
        </w:rPr>
      </w:pPr>
    </w:p>
    <w:p>
      <w:pPr>
        <w:ind w:left="660" w:right="140" w:hanging="328"/>
        <w:spacing w:after="0" w:line="266" w:lineRule="auto"/>
        <w:tabs>
          <w:tab w:leader="none" w:pos="64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federal civil and criminal false claims laws, including the FCA, and civil monetary penalty laws which can be enforced through civil whistleblower or qui tam actions, which imposes civil and criminal penalties against individuals or entities for knowingly presenting or causing to be presented, to the federal government, claims for payment or approval from Medicare, Medicaid or other government payors that are false or fraudulent or making a false statement to avoid, decrease or conceal an obligation to pay to the federal government, with potential liability including mandatory treble damages and significant per-claim penalties.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False Claims Act, the government may impose civil fines and penalties for each false claim, plus treble damages, and exclude the entity from participation in Medicare, Medicaid and other federal healthcare programs.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60" w:hanging="328"/>
        <w:spacing w:after="0" w:line="251"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benefits, items or services relating to healthcare matters. Similar to the AKS, a person or entity does not need to have actual knowledge of the statute or specific intent to violate it in order to have committed a violation.</w:t>
      </w:r>
    </w:p>
    <w:p>
      <w:pPr>
        <w:spacing w:after="0" w:line="87" w:lineRule="exact"/>
        <w:rPr>
          <w:rFonts w:ascii="Times New Roman" w:cs="Times New Roman" w:eastAsia="Times New Roman" w:hAnsi="Times New Roman"/>
          <w:sz w:val="20"/>
          <w:szCs w:val="20"/>
          <w:color w:val="auto"/>
        </w:rPr>
      </w:pPr>
    </w:p>
    <w:p>
      <w:pPr>
        <w:ind w:left="660" w:right="40" w:hanging="328"/>
        <w:spacing w:after="0" w:line="264" w:lineRule="auto"/>
        <w:tabs>
          <w:tab w:leader="none" w:pos="648"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HIPAA, as further amended by the Health Information Technology for Economic and Clinical Health Act of 2009 (HITECH) and their respective implementing regulations, including the Final Omnibus Rule published in January 2013, which impose certain requirements, including mandatory contractual terms, on covered entities subject to the rule, such as health plans, healthcare clearinghouses and certain healthcare providers, as well as their respective business associates and their subcontractors that perform services for them that involve the creation, maintenance, receipt, use, or disclosure of, individually identifiable health information, relating to the privacy, security, and transmission of such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72" w:lineRule="exact"/>
        <w:rPr>
          <w:rFonts w:ascii="Times New Roman" w:cs="Times New Roman" w:eastAsia="Times New Roman" w:hAnsi="Times New Roman"/>
          <w:sz w:val="19"/>
          <w:szCs w:val="19"/>
          <w:color w:val="auto"/>
        </w:rPr>
      </w:pPr>
    </w:p>
    <w:p>
      <w:pPr>
        <w:ind w:left="660" w:right="60" w:hanging="328"/>
        <w:spacing w:after="0" w:line="250"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certified-nurse midwives). In addition, many states also require reporting of payments or other transfers of value, many of which differ from each other in significant ways, are often not pre-empted, and may have a more prohibitive effect than the Sunshine Act, thus further complicating compliance efforts.</w:t>
      </w:r>
    </w:p>
    <w:p>
      <w:pPr>
        <w:spacing w:after="0" w:line="88"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government price reporting laws, which require us to calculate and report complex pricing metrics in an accurate and timely manner to government programs.</w:t>
      </w:r>
    </w:p>
    <w:p>
      <w:pPr>
        <w:spacing w:after="0" w:line="64"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customers.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AKS and FCA,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the EU’s General Data Protection Regulation (GDPR), and dozens of US state and federal regulations also govern the privacy and security of health information in some circumstances, many of which differ from each other in significant ways and often are not preempted by HIPAA, thus complicating compliance efforts. There are ambiguities as to what is required to comply with these myriad requirements and if we fail to comply with an applicable state law requirement, federal regulation, or foreign privacy regime we could be subject to penalties.</w:t>
      </w:r>
    </w:p>
    <w:p>
      <w:pPr>
        <w:spacing w:after="0" w:line="1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8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scope and enforcement of these laws is uncertain and subject to rapid change in the current environment of healthcare reform, especially in light of the lack of applicable precedent and regulations. Federal and state enforcement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individual imprisonment. If any of the above occur, our ability to operate our business and our results of operations could be adversely affected.</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Insurance Coverage and Reimbursement</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the CMS, an agency within HHS.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Additionally, companies may also need to provide discounts to purchasers, private health plans or government healthcare programs.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89"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Current and future healthcare reform legislation</w:t>
      </w:r>
    </w:p>
    <w:p>
      <w:pPr>
        <w:spacing w:after="0" w:line="22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 things, includes changes to the coverage and payment for products under government health care programs. The ACA includes provisions of importance to our potential product candidates that:</w:t>
      </w:r>
    </w:p>
    <w:p>
      <w:pPr>
        <w:spacing w:after="0" w:line="65" w:lineRule="exact"/>
        <w:rPr>
          <w:sz w:val="20"/>
          <w:szCs w:val="20"/>
          <w:color w:val="auto"/>
        </w:rPr>
      </w:pPr>
    </w:p>
    <w:p>
      <w:pPr>
        <w:ind w:left="660" w:right="300" w:hanging="328"/>
        <w:spacing w:after="0" w:line="283" w:lineRule="auto"/>
        <w:tabs>
          <w:tab w:leader="none" w:pos="648"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eligibility criteria for Medicaid programs, thereby potentially increasing a manufacturer’s Medicaid rebate liability;</w:t>
      </w:r>
    </w:p>
    <w:p>
      <w:pPr>
        <w:spacing w:after="0" w:line="121" w:lineRule="exact"/>
        <w:rPr>
          <w:rFonts w:ascii="Times New Roman" w:cs="Times New Roman" w:eastAsia="Times New Roman" w:hAnsi="Times New Roman"/>
          <w:sz w:val="20"/>
          <w:szCs w:val="20"/>
          <w:color w:val="auto"/>
        </w:rPr>
      </w:pPr>
    </w:p>
    <w:p>
      <w:pPr>
        <w:ind w:left="660" w:right="560" w:hanging="328"/>
        <w:spacing w:after="0" w:line="261"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the types of entities eligible for the 340B drug discount program;</w:t>
      </w:r>
    </w:p>
    <w:p>
      <w:pPr>
        <w:spacing w:after="0" w:line="121" w:lineRule="exact"/>
        <w:rPr>
          <w:rFonts w:ascii="Times New Roman" w:cs="Times New Roman" w:eastAsia="Times New Roman" w:hAnsi="Times New Roman"/>
          <w:sz w:val="20"/>
          <w:szCs w:val="20"/>
          <w:color w:val="auto"/>
        </w:rPr>
      </w:pPr>
    </w:p>
    <w:p>
      <w:pPr>
        <w:ind w:left="660" w:hanging="328"/>
        <w:spacing w:after="0" w:line="261"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73" w:lineRule="exact"/>
        <w:rPr>
          <w:rFonts w:ascii="Times New Roman" w:cs="Times New Roman" w:eastAsia="Times New Roman" w:hAnsi="Times New Roman"/>
          <w:sz w:val="20"/>
          <w:szCs w:val="20"/>
          <w:color w:val="auto"/>
        </w:rPr>
      </w:pPr>
    </w:p>
    <w:p>
      <w:pPr>
        <w:ind w:left="660" w:right="900" w:hanging="328"/>
        <w:spacing w:after="0" w:line="269" w:lineRule="auto"/>
        <w:tabs>
          <w:tab w:leader="none" w:pos="64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created a Patient-Centered Outcomes Research Institute to oversee, identify priorities in, and conduct comparative clinical effectiveness research, along with funding for such research.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legislative changes have been proposed and adopted in the United States since the ACA was enacted:</w:t>
      </w:r>
    </w:p>
    <w:p>
      <w:pPr>
        <w:spacing w:after="0" w:line="121" w:lineRule="exact"/>
        <w:rPr>
          <w:sz w:val="20"/>
          <w:szCs w:val="20"/>
          <w:color w:val="auto"/>
        </w:rPr>
      </w:pPr>
    </w:p>
    <w:p>
      <w:pPr>
        <w:ind w:left="660" w:right="260" w:hanging="328"/>
        <w:spacing w:after="0" w:line="261"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2030, unless additional Congressional action is taken.</w:t>
      </w:r>
    </w:p>
    <w:p>
      <w:pPr>
        <w:spacing w:after="0" w:line="59" w:lineRule="exact"/>
        <w:rPr>
          <w:rFonts w:ascii="Times New Roman" w:cs="Times New Roman" w:eastAsia="Times New Roman" w:hAnsi="Times New Roman"/>
          <w:sz w:val="20"/>
          <w:szCs w:val="20"/>
          <w:color w:val="auto"/>
        </w:rPr>
      </w:pPr>
    </w:p>
    <w:p>
      <w:pPr>
        <w:ind w:left="660" w:right="100" w:hanging="328"/>
        <w:spacing w:after="0" w:line="268"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53" w:lineRule="exact"/>
        <w:rPr>
          <w:rFonts w:ascii="Times New Roman" w:cs="Times New Roman" w:eastAsia="Times New Roman" w:hAnsi="Times New Roman"/>
          <w:sz w:val="20"/>
          <w:szCs w:val="20"/>
          <w:color w:val="auto"/>
        </w:rPr>
      </w:pPr>
    </w:p>
    <w:p>
      <w:pPr>
        <w:ind w:left="660" w:right="60" w:hanging="328"/>
        <w:spacing w:after="0" w:line="261"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73" w:lineRule="exact"/>
        <w:rPr>
          <w:rFonts w:ascii="Times New Roman" w:cs="Times New Roman" w:eastAsia="Times New Roman" w:hAnsi="Times New Roman"/>
          <w:sz w:val="20"/>
          <w:szCs w:val="20"/>
          <w:color w:val="auto"/>
        </w:rPr>
      </w:pPr>
    </w:p>
    <w:p>
      <w:pPr>
        <w:ind w:left="660" w:right="140" w:hanging="328"/>
        <w:spacing w:after="0" w:line="253"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83" w:lineRule="exact"/>
        <w:rPr>
          <w:rFonts w:ascii="Times New Roman" w:cs="Times New Roman" w:eastAsia="Times New Roman" w:hAnsi="Times New Roman"/>
          <w:sz w:val="20"/>
          <w:szCs w:val="20"/>
          <w:color w:val="auto"/>
        </w:rPr>
      </w:pPr>
    </w:p>
    <w:p>
      <w:pPr>
        <w:ind w:left="660" w:right="220" w:hanging="328"/>
        <w:spacing w:after="0" w:line="269"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May 23, 2019, CMS published a final rule to allow Medicare Advantage Plans the option of using step therapy for Part B drugs beginning January 1, 2020.</w:t>
      </w:r>
    </w:p>
    <w:p>
      <w:pPr>
        <w:spacing w:after="0" w:line="64" w:lineRule="exact"/>
        <w:rPr>
          <w:rFonts w:ascii="Times New Roman" w:cs="Times New Roman" w:eastAsia="Times New Roman" w:hAnsi="Times New Roman"/>
          <w:sz w:val="20"/>
          <w:szCs w:val="20"/>
          <w:color w:val="auto"/>
        </w:rPr>
      </w:pPr>
    </w:p>
    <w:p>
      <w:pPr>
        <w:ind w:left="660" w:right="60" w:hanging="328"/>
        <w:spacing w:after="0" w:line="261" w:lineRule="auto"/>
        <w:tabs>
          <w:tab w:leader="none" w:pos="64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December 20, 2019, the Further Consolidated Appropriations Act was signed into law (H.R. 1865), which repealed the Cadillac tax, the health insurance provider tax, and the medical device excise tax. It is impossible to determine whether similar taxes could be instated in the future.</w:t>
      </w:r>
    </w:p>
    <w:p>
      <w:pPr>
        <w:spacing w:after="0" w:line="73" w:lineRule="exact"/>
        <w:rPr>
          <w:rFonts w:ascii="Times New Roman" w:cs="Times New Roman" w:eastAsia="Times New Roman" w:hAnsi="Times New Roman"/>
          <w:sz w:val="20"/>
          <w:szCs w:val="20"/>
          <w:color w:val="auto"/>
        </w:rPr>
      </w:pPr>
    </w:p>
    <w:p>
      <w:pPr>
        <w:ind w:left="660" w:right="300" w:hanging="328"/>
        <w:spacing w:after="0" w:line="267" w:lineRule="auto"/>
        <w:tabs>
          <w:tab w:leader="none" w:pos="648"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March 11, 2021, President Biden signed the American Rescue Plan Act of 2021 into law. In addition to provider payment cuts under Medicare, the American Rescue Plan Act of 2021 also eliminated the statutory Medicaid drug rebate cap, previously set at 100% of a drug’s average manufacturer price, for single source and innovator multiple source drugs, beginning January 1, 2024.</w:t>
      </w:r>
    </w:p>
    <w:p>
      <w:pPr>
        <w:spacing w:after="0" w:line="1" w:lineRule="exact"/>
        <w:rPr>
          <w:rFonts w:ascii="Times New Roman" w:cs="Times New Roman" w:eastAsia="Times New Roman" w:hAnsi="Times New Roman"/>
          <w:sz w:val="19"/>
          <w:szCs w:val="19"/>
          <w:color w:val="auto"/>
        </w:rPr>
      </w:pPr>
    </w:p>
    <w:p>
      <w:pPr>
        <w:ind w:left="660" w:right="180"/>
        <w:spacing w:after="0" w:line="253"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These laws and regulations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60" w:hanging="328"/>
        <w:spacing w:after="0" w:line="251" w:lineRule="auto"/>
        <w:tabs>
          <w:tab w:leader="none" w:pos="64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August 2022, the Inflation Reduction Act of 2022 (IRA) was signed into law and includes several provisions that may impact our business to varying degrees, including provisions that reduce the out-of-pocket cap for Medicare Part D beneficiaries to $2,000 which began in 2025; impose new manufacturer financial liability on certain drugs under Medicare Part D; allow the U.S. government to negotiate Medicare Part B and Part D price caps for certain high-cost drugs and biologics without generic or biosimilar competition, including small molecule drugs; and require companies to pay rebates to Medicare for certain drug prices that increase faster than inflation, also including small molecule drugs.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or the OBBB Act,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spacing w:after="0" w:line="17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The Trump administration also previously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solicited feedback on some of these measures and has in the past implemented others under its existing authority. For example, in May 2019, CMS issued a final rule to allow Medicare Advantage Plans the option of using step therapy, a type of prior authorization, for Part B drugs effective January 1, 2020. Congress and the Trump administration have indicated that they will continue to seek new legislative measures to control drug costs.</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IRA further extended the delay in implementing this rule under 2032.</w:t>
      </w:r>
    </w:p>
    <w:p>
      <w:pPr>
        <w:spacing w:after="0" w:line="19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Additionally, the FDA published a final rule, effective November 30, 2020, that allows for the importation of certain prescription drugs from Canada. Under the final rule, states and Indian Tribes, and in certain future circumstances pharmacists and wholesalers, may submit importation program proposals to the FDA for review and authorization.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potential pathway for manufacturers to obtain an additional National Drug Code, or NDC, for an FDA-approved drug that was originally intended to be marketed in a foreign country and that was authorized for sale in that foreign country.</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w:t>
      </w:r>
    </w:p>
    <w:p>
      <w:pPr>
        <w:spacing w:after="0" w:line="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19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18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 In addition, regional health care authorities and individual hospitals are increasingly using bidding procedures to determine what pharmaceutical products and which suppliers will be included in their prescription drug and other health care programs. Some of these proposed measures, including drug importation and pharmacy benefit manager rebate rule changes, face legal challenges from industry groups and participants. These measures could reduce the ultimate demand for our products, once approved, or put pressure on our product pricing.</w:t>
      </w:r>
    </w:p>
    <w:p>
      <w:pPr>
        <w:spacing w:after="0" w:line="20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Some of our manufacturers are located outside of the United States. There is currently significant uncertainty about the future relationship between the U.S. and various other countries, including China, with respect to trade policies, treaties, government regulations and tariffs. Increased tariffs could potentially disrupt our existing supply chains and impose additional costs on our business. Additionally, it is possible further tariffs may be imposed that could affect imports of active pharmaceutical ingredients (APIs) used in our product candidates, or our business may be adversely impacted by retaliatory trade measures taken by China or other countries, including restricted access to such raw materials used in our product candidates. Given the unpredictable regulatory environment in China and the U.S. and uncertainty regarding how the U.S. or foreign governments will act with respect to tariffs, international trade agreements and policies, further governmental action related to tariffs, additional taxes, regulatory changes or other retaliatory trade measures in the future could occur with a corresponding detrimental impact on our business and financial condition.</w:t>
      </w:r>
    </w:p>
    <w:p>
      <w:pPr>
        <w:spacing w:after="0" w:line="176"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In the EU, pricing and reimbursement schemes vary widely from country to country. Some countries provide that products may be marketed only after a reimbursement price has been agreed. Some countries may require the completion of additional studies or health technology assessments that compare the cost-effectiveness of a particular product candidate to currently available therapies in order to obtain reimbursement or pricing approval. For example, in the EU Member States may restrict the range of products for which their national health insurance systems provide reimbursement or impose price controls on medicines. EU Member States may approve a specific price for a product or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grant favorable reimbursement and pricing arrangements for any products, if approved in those countries.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other federal and state laws or requirements; changing legal requirements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we may be subject.</w:t>
      </w:r>
    </w:p>
    <w:p>
      <w:pPr>
        <w:spacing w:after="0" w:line="186"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Changes in regulations, statutes or the interpretation of existing regulations could impact our business in the future by requiring, for example:</w:t>
      </w:r>
    </w:p>
    <w:p>
      <w:pPr>
        <w:spacing w:after="0" w:line="40" w:lineRule="exact"/>
        <w:rPr>
          <w:sz w:val="20"/>
          <w:szCs w:val="20"/>
          <w:color w:val="auto"/>
        </w:rPr>
      </w:pPr>
    </w:p>
    <w:p>
      <w:pPr>
        <w:ind w:left="240" w:hanging="232"/>
        <w:spacing w:after="0"/>
        <w:tabs>
          <w:tab w:leader="none" w:pos="2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our manufacturing arrangements; (ii) additions or modifications to product labeling or packaging; (iii) the recall or</w:t>
      </w:r>
    </w:p>
    <w:p>
      <w:pPr>
        <w:spacing w:after="0" w:line="6" w:lineRule="exact"/>
        <w:rPr>
          <w:rFonts w:ascii="Times New Roman" w:cs="Times New Roman" w:eastAsia="Times New Roman" w:hAnsi="Times New Roman"/>
          <w:sz w:val="20"/>
          <w:szCs w:val="20"/>
          <w:color w:val="auto"/>
        </w:rPr>
      </w:pPr>
    </w:p>
    <w:p>
      <w:pPr>
        <w:ind w:right="780"/>
        <w:spacing w:after="0" w:line="26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discontinuation of our products; or (iv) additional record-keeping requirements. If any such changes were to be imposed, they could adversely affect the operation of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U.S. environmental, health and safety laws and regulations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 of drugs outside of the United States</w:t>
      </w:r>
    </w:p>
    <w:p>
      <w:pPr>
        <w:spacing w:after="0" w:line="22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To market any product outside of the United States,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 For instance, in the EU, medicinal products are subject to extensive pre- and post-market regulation by regulatory authorities at both the EU and national levels.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left="660" w:hanging="328"/>
        <w:spacing w:after="0" w:line="249"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Centralized procedure</w:t>
      </w:r>
      <w:r>
        <w:rPr>
          <w:rFonts w:ascii="Times New Roman" w:cs="Times New Roman" w:eastAsia="Times New Roman" w:hAnsi="Times New Roman"/>
          <w:sz w:val="20"/>
          <w:szCs w:val="20"/>
          <w:color w:val="auto"/>
        </w:rPr>
        <w:t>—If pursuing marketing authorization of a product candidate for a therapeutic indication under the centralized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procedure, following the opinion of the European Medicines Agency’s, (EMA), Committee for Medicinal Products for Human Use (CHMP), the European Commission issues a single marketing authorization valid across the EU, and in the additional countries of the European Economic Area (Iceland, Liechtenstein and Norway). The centralized procedure is compulsory for human medicines derived from biotechnology processes or advanced therapy medicinal products (i.e. gene therapy, somatic cell therapy and tissue engineered products), products that contain a new active substance indicated for the treatment of certain diseases, such as HIV, AIDS, cancer, neurodegenerative disorders, diabetes, autoimmune diseases and other immune dysfunctions, viral diseases, and designated orphan medicines. For medicines that do not fall within these categories, an applicant has the option of submitting an application for a centralized marketing authorization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which makes the final decision to grant the marketing authorization, which is issued within 67 days of receipt of the EMA’s recommendation. Accelerated assessment may be granted by the CHMP in exceptional cases, for medicinal products of major public health interest, particularly from the perspective of therapeutic innovation. If the CHMP accepts such request, the time limit of 210 days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87" w:lineRule="exact"/>
        <w:rPr>
          <w:rFonts w:ascii="Times New Roman" w:cs="Times New Roman" w:eastAsia="Times New Roman" w:hAnsi="Times New Roman"/>
          <w:sz w:val="20"/>
          <w:szCs w:val="20"/>
          <w:color w:val="auto"/>
        </w:rPr>
      </w:pPr>
    </w:p>
    <w:p>
      <w:pPr>
        <w:ind w:left="660" w:right="460" w:hanging="328"/>
        <w:spacing w:after="0" w:line="273" w:lineRule="auto"/>
        <w:tabs>
          <w:tab w:leader="none" w:pos="64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National authorization procedures</w:t>
      </w:r>
      <w:r>
        <w:rPr>
          <w:rFonts w:ascii="Times New Roman" w:cs="Times New Roman" w:eastAsia="Times New Roman" w:hAnsi="Times New Roman"/>
          <w:sz w:val="20"/>
          <w:szCs w:val="20"/>
          <w:color w:val="auto"/>
        </w:rPr>
        <w:t>—There are also two other possible routes to authorize products for therapeutic indications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several countries in the EU, which are available for products that fall outside the scope of the centralized procedure:</w:t>
      </w:r>
    </w:p>
    <w:p>
      <w:pPr>
        <w:spacing w:after="0" w:line="57" w:lineRule="exact"/>
        <w:rPr>
          <w:rFonts w:ascii="Times New Roman" w:cs="Times New Roman" w:eastAsia="Times New Roman" w:hAnsi="Times New Roman"/>
          <w:sz w:val="20"/>
          <w:szCs w:val="20"/>
          <w:color w:val="auto"/>
        </w:rPr>
      </w:pPr>
    </w:p>
    <w:p>
      <w:pPr>
        <w:ind w:left="1300" w:right="20" w:hanging="320"/>
        <w:spacing w:after="0" w:line="263" w:lineRule="auto"/>
        <w:tabs>
          <w:tab w:leader="none" w:pos="128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Decentralized procedure</w:t>
      </w:r>
      <w:r>
        <w:rPr>
          <w:rFonts w:ascii="Times New Roman" w:cs="Times New Roman" w:eastAsia="Times New Roman" w:hAnsi="Times New Roman"/>
          <w:sz w:val="20"/>
          <w:szCs w:val="20"/>
          <w:color w:val="auto"/>
        </w:rPr>
        <w:t>—Using the decentralized procedure, an applicant may apply for simultaneous authorization in more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than one EU country of medicinal products that have not yet been authorized in any EU country and that do not fall within the mandatory scope of the centralized procedure.</w:t>
      </w:r>
    </w:p>
    <w:p>
      <w:pPr>
        <w:spacing w:after="0" w:line="67" w:lineRule="exact"/>
        <w:rPr>
          <w:rFonts w:ascii="Times New Roman" w:cs="Times New Roman" w:eastAsia="Times New Roman" w:hAnsi="Times New Roman"/>
          <w:sz w:val="20"/>
          <w:szCs w:val="20"/>
          <w:color w:val="auto"/>
        </w:rPr>
      </w:pPr>
    </w:p>
    <w:p>
      <w:pPr>
        <w:ind w:left="1300" w:right="40" w:hanging="320"/>
        <w:spacing w:after="0" w:line="260" w:lineRule="auto"/>
        <w:tabs>
          <w:tab w:leader="none" w:pos="1289"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Mutual recognition procedure</w:t>
      </w:r>
      <w:r>
        <w:rPr>
          <w:rFonts w:ascii="Times New Roman" w:cs="Times New Roman" w:eastAsia="Times New Roman" w:hAnsi="Times New Roman"/>
          <w:sz w:val="20"/>
          <w:szCs w:val="20"/>
          <w:color w:val="auto"/>
        </w:rPr>
        <w:t>—In the mutual recognition procedure, a medicine is first authorized in one EU Member State,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accordance with the national procedures of that country. Following this, additional marketing authorizations can be sought from other EU countries in a procedure whereby the countries concerned recognize the validity of the original, national marketing authorization.</w:t>
      </w:r>
    </w:p>
    <w:p>
      <w:pPr>
        <w:spacing w:after="0" w:line="1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Under the above described procedures, before granting a marketing authorization, the EMA (for centralized procedures) or the competent authorities of the Member States (for national, decentralized or mutual recognition procedures) assess the risk-benefit balance of the product on the basis of scientific criteria concerning its quality, safety and efficacy.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the EU, new products for therapeutic indications that are authorized for marketing (i.e., reference products) qualify for eight years of data exclusivity and an additional two years of market exclusivity upon marketing authorization. The data exclusivity period, if granted, prevents generic or biosimilar applicants from relying on the preclinical and clinical trial data contained in the dossier of the reference product when applying for a generic or biosimilar marketing authorization in the EU for a period of eight years from the date on which the reference product was first authorized in the EU. During the additional two-year period of market exclusivity, a generic or biosimilar marketing authorization can be submitted, and the innovator’s data may be referenced, but no generic or biosimilar product can be marketed in the EU until the expiration of the market exclusivity period.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currently approved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 marketing authorization based on an MAA with a complete, independent data package of pharmaceutical tests, preclinical tests and clinical trials.</w:t>
      </w:r>
    </w:p>
    <w:p>
      <w:pPr>
        <w:spacing w:after="0" w:line="18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criteria for designating an “orphan medicinal product” in the EU are similar in principle to those in the United States. In the EU a medicinal product may be designated as orphan medicinal product if it meets the following criteria: (1) it is intended for the diagnosis, prevention or treatment of a life-threatening or chronically debilitating condition; (2) either (a) such condition affects no more than five in 10,000 persons in the EU when the application is made, or (b) without the benefits derived from orphan status, it is unlikely that the marketing of the medicine would generate sufficient return in the EU to justify the necessary investment in its development; and (3) there exists no satisfactory method of diagnosis, prevention or treatment of such condition authorized for marketing in the EU, or if such a method exists, the product would be of significant benefit to those affected by that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MAA shall be accepted, and no marketing authorization shall be granted for a similar medicinal product.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The ten-year market exclusivity may be reduced to six years if, at the end of the fifth year, it is established that the product no longer meets the criteria for orphan designation, including if the product is sufficiently profitable not to justify maintenance of market exclusivity. Otherwise, orphan medicine marketing exclusivity may be revoked only in very select cases, such as if (i) it is established that a similar medicinal product is safer, more effective or otherwise clinically superior to the authorized product; (ii) the marketing authorization holder of the authorized orphan product consents to a second product application; or (iii) the marketing authorization holder of the authorized orphan product cannot supply enough orphan medicinal product. Orphan designation must be requested before submission of the for marketing authorization application. Orphan designation does not convey any advantage in, or shorten the duration of, the regulatory review and approval process.</w:t>
      </w:r>
    </w:p>
    <w:p>
      <w:pPr>
        <w:spacing w:after="0" w:line="19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May 2017, the EU adopted the Regulation (EU) 2017/746 on in vitro diagnostic medical devices, or IVDR, which became applicable on 26 May 2022 and repealed Directive 98/79/EC on in vitro diagnostic medical devices. Devices that comply with the requirements of the IVDR will be entitled to bear the CE conformity marking, indicating that the device conforms to the general safety and performance requirements of the IVDR, and, accordingly, can be commercially distributed throughout the EU (in-vitro diagnostic medical devices cannot be marketed in the EU without a CE mark). The method of assessing conformity varies depending on the class of the product, but normally involves a third-party assessment by an independent “Notified Body”. This third-party assessment may consist of an audit of the manufacturer’s quality system and specific testing of the manufacturer’s product.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Similar to the United States, the various phases of non-clinical and clinical research in the EU are subject to significant regulatory controls.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In April 2014, Regulation (EU) No 536/2014 on clinical trials (Clinical Trials Regulation) was adopted, which replaced the Clinical Trials Directive 2001/20/EC on January 31, 2022. The Clinical Trials Regulation is directly applicable in all EU Member States, meaning no national implementing legislation is required. The Clinical Trials Regulation aims to simplify and streamline the approval of clinical trials in the EU. The main characteristics of the regulation include: a streamlined application procedure via a single-entry point, the Clinical Trials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in a coordinated procedure led by a Reporting Member State, with the involvement of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96"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All of the aforementioned EU rules are generally applicable in the European Economic Area (EEA), which consists of the EU Member States, plus Norway, Liechtenstein and Iceland.</w:t>
      </w:r>
    </w:p>
    <w:p>
      <w:pPr>
        <w:spacing w:after="0" w:line="1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17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The collection and use of personal data in the EEA is governed by the General Data Protection Regulation (GDPR). The GDPR has extraterritorial application and applies to organizations based outside the EEA that provide goods or services to residents in the EU. The GDPR imposes strict requirements on controllers and processors of personal data, including special protections for “sensitive information” which includes health and genetic information of data subjects residing in the EEA. GDPR grants individuals a number of data protection rights which they can exercise in relation to their personal information. Further, the GDPR enables individuals to claim damages for violations and introduces the right for non-profit organizations to bring claims on behalf of data subjects. The GDPR imposes strict rules on the transfer of personal data out of the EEA to the United States or other regions that have not been deemed to offer “adequate” privacy protections. Failure to comply with the requirements of the GDPR and the related national data protection laws of the EEA Member States, which may deviate slightly from the GDPR, may result in fines of up to 4% of global revenues, or €20 million, whichever is greater. The GDPR introduced additional complexity and requirements for additional mechanisms ensuring compliance with the new data protection rules. In addition, further to the United Kingdom (UK)’s exit from the EU, the UK’s EU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 In 2025, the Data (Use and Access) Bill (DUA Act) passed both Houses of UK Parliament and received Royal Assent. The DUA Act alters requirements for international data transfers and marks a shift in the UK’s approach to data protection.</w:t>
      </w:r>
    </w:p>
    <w:p>
      <w:pPr>
        <w:spacing w:after="0" w:line="180"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20"/>
          <w:szCs w:val="20"/>
          <w:color w:val="auto"/>
        </w:rPr>
        <w:t>Enforcement uncertainty and the costs associated with ensuring GDPR compliance are onerous and may adversely affect our business, financial condition, results of operations and prospects.</w:t>
      </w:r>
    </w:p>
    <w:p>
      <w:pPr>
        <w:spacing w:after="0" w:line="146"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Brexit and the Regulatory Framework in the United Kingdom</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Following the end of the Brexit transition period on January 1, 2021 and the implementation of the Windsor Framework on January 1, 2025, the United Kingdom (UK) is not generally subject to EU laws in respect of medicines. The EU laws that have been transposed into UK law through secondary legislation remain applicable in the UK however, new legislation such as the EU Clinical Trials Regulation, is not applicable in the UK. As of January 1, 2021, the Medicines and Healthcare products Regulatory Agency (MHRA) is the UK's standalone medicines and medical devices regulator. As a result of the Northern Ireland Protocol, different rules applied in Northern Ireland than in England, Wales, and Scotland (together, "Great Britain", or GB), with Northern Ireland continuing to follow the EU regulatory regime for a period after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 In particular, the MHRA is now responsible for approving medicinal products placed on the UK market (i.e., Great Britain and Northern Ireland), and the EMA no longer has a role in UK marketing authorizations. A single UK-wide marketing authorizations will be granted by the MHRA for medicinal products to be sold in the UK, enabling products to be sold in a single pack and under a single authorization throughout the UK. In addition, the new arrangements require, for packs placed on the UK market on or after January 1, 2025, a "UK Only" label is required, indicating they are not for sale in the EU. However, although separate authorization is now required to market medicinal products in the UK, since January 1, 2024, the MHRA may rely on the International Recognition Procedure, or IRP, when reviewing certain types of MAAs. Pursuant to the IRP, the MHRA will take into account the expertise and decision-making of trusted regulatory partners (e.g. the medicines regulatory authorities in Australia, Canada, Switzerland, Singapore, Japan, the U.S.A. and the EMA in the EU).</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There is no pre-marketing authorization orphan designation in the UK. The MHRA reviews applications for orphan designation with the corresponding MAA. The criteria for orphan designation in the UK are similar to those in the EU, but are applied to the UK population not more than five in 10,000 in the UK). If granted, orphan market exclusivity is set from the date of first approval in the UK.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order to achieve the goals and expectations of our Company, it is crucial that we continue to attract and retain top talent. To facilitate talent attraction and retention, we strive to make Black Diamond a safe and rewarding workplace, with opportunities for our employees to grow and develop in their careers, supported by strong compensation, benefits and health and wellness programs, and by programs that build connections between our employees.</w:t>
      </w:r>
    </w:p>
    <w:p>
      <w:pPr>
        <w:spacing w:after="0" w:line="18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As of March 11, 2026, we had 21 full-time employees. Three of our employees have Ph.D. degrees, two have Pharm.D. degrees, and three have M.D. degrees. The following table shows the number of full-time employees as of March 11, 2026 engaged in either research and development or administrative functions. All of our employees are located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4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Employees</w:t>
            </w: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23"/>
        </w:trPr>
        <w:tc>
          <w:tcPr>
            <w:tcW w:w="9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bl>
    <w:p>
      <w:pPr>
        <w:spacing w:after="0" w:line="274" w:lineRule="exact"/>
        <w:rPr>
          <w:sz w:val="20"/>
          <w:szCs w:val="20"/>
          <w:color w:val="auto"/>
        </w:rPr>
      </w:pPr>
    </w:p>
    <w:p>
      <w:pPr>
        <w:jc w:val="both"/>
        <w:ind w:right="280"/>
        <w:spacing w:after="0" w:line="283" w:lineRule="auto"/>
        <w:rPr>
          <w:sz w:val="20"/>
          <w:szCs w:val="20"/>
          <w:color w:val="auto"/>
        </w:rPr>
      </w:pPr>
      <w:r>
        <w:rPr>
          <w:rFonts w:ascii="Times New Roman" w:cs="Times New Roman" w:eastAsia="Times New Roman" w:hAnsi="Times New Roman"/>
          <w:sz w:val="20"/>
          <w:szCs w:val="20"/>
          <w:color w:val="auto"/>
        </w:rPr>
        <w:t>None of our employees are represented by labor unions or covered by collective bargaining agreements. We consider our relationship with our employees to be good.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A highly skilled and engaged workforce is critical to achieving our business objectives and bringing value to patients, shareholders, and all stakeholders. We foster an inclusive culture that attracts, retains, engages, and develops our people. Additionally, the success of our business is fundamentally connected to the well-being of our employees. Accordingly, we are committed to their health, safety and wellness. We provide our employees and their families with access to a variety of innovative, flexible and convenient health and wellness programs, including benefits that provide protection and security so they can have peace of mind concerning events that may require time away from work or that impact their financial well-being; that support their physical and mental health by providing tools and resources to help them improve or maintain their health status and encourage engagement in healthy behaviors; and that offer choice where possible so they can customize their benefits to meet their needs and the needs of their families.</w:t>
      </w:r>
    </w:p>
    <w:p>
      <w:pPr>
        <w:spacing w:after="0" w:line="19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We provide robust compensation and benefits programs to help meet the needs of our employees. In addition to salaries, these programs include potential annual discretionary bonuses, stock awards, a 401(k) Plan, healthcare and insurance benefits, flexible spending accounts, paid time off, family leave and flexible work schedules, among others. In addition to our broad-based equity award programs, we have used targeted equity-based grants with vesting conditions to facilitate retention of personnel.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23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auto"/>
        </w:rPr>
        <w:t>We lease office space for our principal office on a month-to-month basis, which is located at 245 First Street, 18th Floor, Cambridge, MA 02142. We lease a facility containing approximately 25,578 square feet of office space, which is located at One Main Street, Cambridge, MA</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02142. The lease expires on August 31, 2028, subject to an option to extend the lease for five additional years. In December 2022, we entered into a sublease for one floor, approximately 14,439 square feet, of our Cambridge, MA office space, which also terminates on August 31, 2028. In December 2025, we entered into a sublease for the other floor, approximately 11,139 square feet, of our Cambridge, MA office space, which also terminates on August 31, 2028. We also lease approximately 18,120 square feet of office and laboratory space at 430 East 29th Street, New York, New York 10016. The lease expires on August 30, 2032, subject to an option to extend the lease for five additional years. In June 2024, we entered into a sublease for our office and laboratory space in New York, NY. The sublease terminates on June 30, 2026.</w:t>
      </w:r>
    </w:p>
    <w:p>
      <w:pPr>
        <w:spacing w:after="0" w:line="198"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20"/>
          <w:szCs w:val="20"/>
          <w:color w:val="auto"/>
        </w:rPr>
        <w:t>We believe that our current facilities are adequate for our current needs and that suitable additional or substitute space at commercially reasonable terms will be available as needed to accommodate any future expansion of our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2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As of the date of this Annual Report, we were not a party to, or aware of,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were formed as an LLC in December 2014 and we converted to a corporation in September 2016 under the laws of the State of Delaware under the name ASET Therapeutics, Inc. On January 2, 2018, we changed our name to Black Diamond Therapeutics, Inc. Our principal executive offices are located at 245 First Street, 18th Floor, Cambridge, MA 02142, and our telephone number is 617-252-0848. As of December 31, 2025, we have one subsidiary, Black Diamond Therapeutics Security Corporation, which was incorporated in 2019.</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 and Segments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financial information required under this Item 1 is incorporated herein by reference to the section of this Annual Report titled “</w:t>
      </w:r>
      <w:r>
        <w:rPr>
          <w:rFonts w:ascii="Times New Roman" w:cs="Times New Roman" w:eastAsia="Times New Roman" w:hAnsi="Times New Roman"/>
          <w:sz w:val="20"/>
          <w:szCs w:val="20"/>
          <w:i w:val="1"/>
          <w:iCs w:val="1"/>
          <w:color w:val="auto"/>
        </w:rPr>
        <w:t>Part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Item 8—Financial Statements and Supplementary Data</w:t>
      </w:r>
      <w:r>
        <w:rPr>
          <w:rFonts w:ascii="Times New Roman" w:cs="Times New Roman" w:eastAsia="Times New Roman" w:hAnsi="Times New Roman"/>
          <w:sz w:val="20"/>
          <w:szCs w:val="20"/>
          <w:color w:val="auto"/>
        </w:rPr>
        <w:t>.” The Company manages its operations as a single segment for the purposes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assessing performance and making operating decisions. The Company’s singular focus is the development of selective medicines for patients with genetically defined cancers driven by oncogenes activated by allosteric mutations. See Note 2 to our consolidated audited financial statements included in this Annual Report. For financial information regarding our business, see “</w:t>
      </w:r>
      <w:r>
        <w:rPr>
          <w:rFonts w:ascii="Times New Roman" w:cs="Times New Roman" w:eastAsia="Times New Roman" w:hAnsi="Times New Roman"/>
          <w:sz w:val="20"/>
          <w:szCs w:val="20"/>
          <w:i w:val="1"/>
          <w:iCs w:val="1"/>
          <w:color w:val="auto"/>
        </w:rPr>
        <w:t>Part II—Item 7—Management’s Discussion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Analysis of Financial Condition and Results of Operations</w:t>
      </w:r>
      <w:r>
        <w:rPr>
          <w:rFonts w:ascii="Times New Roman" w:cs="Times New Roman" w:eastAsia="Times New Roman" w:hAnsi="Times New Roman"/>
          <w:sz w:val="20"/>
          <w:szCs w:val="20"/>
          <w:color w:val="auto"/>
        </w:rPr>
        <w:t>” of this Annual Report and our consolidated audited financial statements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related notes included elsewhere in this Annual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Internet address is www.blackdiamondtherapeutics.com.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&amp; News” portion of our website free of charge as soon as reasonably practicable after we electronically file such material with, or furnish it to, the SEC. Information on our website is not part of this Annual Report or any of our other securities filings unless specifically incorporated herein by reference. We have included our website address in this Annual Report solely as an inactive textual reference. Our filings with the SEC may be accessed through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i w:val="1"/>
          <w:iCs w:val="1"/>
          <w:color w:val="auto"/>
        </w:rPr>
        <w:t>Careful consideration should be given to the following risk factors, in addition to the other information set forth in this Annual Report and in other documents that we file with the SEC, in evaluating the Company and our business. Investing in our common stock involves a high degree of risk. If any of the following risks and uncertainties actually occurs, our business, prospects, financial condition and results of operations could be materially and adversely affected. The risks and uncertainties summarized and described below are not intended to be exhaustive and are not the only ones we face. Additional risks and uncertainties not presently known to us or that we currently deem immaterial may also impair our business, prospects, financial condition and results of operations. Certain statements in this Annual Report are forward-looking statements. Please also see the section entitled “Special Note Regarding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of our product candidates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clinical development</w:t>
      </w:r>
    </w:p>
    <w:p>
      <w:pPr>
        <w:spacing w:after="0" w:line="22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We are very early in our development efforts and are substantially dependent on our lead clinical-stage product candidate, silevertinib. If we are unable to advance silevertinib or any of our future product candidates through clinical development, obtain regulatory approval and ultimately commercialize silevertinib or any of our future product candidates, or experience significant delays in doing so, our business will be materially harmed.</w:t>
      </w:r>
    </w:p>
    <w:p>
      <w:pPr>
        <w:spacing w:after="0" w:line="16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We are very early in our development efforts. We are currently evaluating silevertinib in a Phase 2 clinical trial in patients with EGFRm NSCLC and an investigator sponsored Phase 0/1 trial in patients with GBM, and plan to initiate a randomized Phase 2 trial of silevertinib in newly diagnosed patients with EGFR altered GBM. We are evaluating partnership opportunities for our development-stage product candidate, BDTX-4876. Our ability to generate product revenues, which we do not expect will occur for many years, if ever, will depend heavily on the successful clinical development and eventual commercialization of silevertinib or one or more of our future product candidates. The success of our product candidates will depend on several factors, including the following:</w:t>
      </w:r>
    </w:p>
    <w:p>
      <w:pPr>
        <w:spacing w:after="0" w:line="84"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of preclinical studies;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of INDs for our planned clinical trials or future clinical trials;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acceptance of our clinical development strategy;</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initiation of clinical trials;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patient enrollment in and completion of clinical trials;</w:t>
      </w:r>
    </w:p>
    <w:p>
      <w:pPr>
        <w:spacing w:after="0" w:line="121"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2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tolerability and efficacy profiles for our product candidates that are satisfactory to the FDA or any foreign regulatory authority for marketing approval;</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marketing approvals for our product candidates from applicable regulatory authorities;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any required post-marketing approval commitments to applicable regulatory authorities;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and trade secret protection and regulatory exclusivity for our product candidates;</w:t>
      </w:r>
    </w:p>
    <w:p>
      <w:pPr>
        <w:spacing w:after="0" w:line="121" w:lineRule="exact"/>
        <w:rPr>
          <w:rFonts w:ascii="Times New Roman" w:cs="Times New Roman" w:eastAsia="Times New Roman" w:hAnsi="Times New Roman"/>
          <w:sz w:val="20"/>
          <w:szCs w:val="20"/>
          <w:color w:val="auto"/>
        </w:rPr>
      </w:pPr>
    </w:p>
    <w:p>
      <w:pPr>
        <w:ind w:left="340" w:right="580" w:hanging="332"/>
        <w:spacing w:after="0" w:line="269" w:lineRule="auto"/>
        <w:tabs>
          <w:tab w:leader="none" w:pos="32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arrangements with third-party manufacturers, or establishing manufacturing capabilities, for both clinical and commercial supplies of our product candidates, if any product candidates are approved;</w:t>
      </w:r>
    </w:p>
    <w:p>
      <w:pPr>
        <w:spacing w:after="0" w:line="64" w:lineRule="exact"/>
        <w:rPr>
          <w:rFonts w:ascii="Times New Roman" w:cs="Times New Roman" w:eastAsia="Times New Roman" w:hAnsi="Times New Roman"/>
          <w:sz w:val="20"/>
          <w:szCs w:val="20"/>
          <w:color w:val="auto"/>
        </w:rPr>
      </w:pPr>
    </w:p>
    <w:p>
      <w:pPr>
        <w:ind w:left="340" w:right="620" w:hanging="332"/>
        <w:spacing w:after="0" w:line="283" w:lineRule="auto"/>
        <w:tabs>
          <w:tab w:leader="none" w:pos="32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sales, marketing and distribution capabilities and launching commercial sales of our products, if and when approved, whether alone or in collaboration with others;</w:t>
      </w:r>
    </w:p>
    <w:p>
      <w:pPr>
        <w:spacing w:after="0" w:line="3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our products, if and when approved, by patients, the medical community and third-party payors;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competing with other cancer therapies;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third-party coverage and adequate reimbursement;</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profile of our products following approval; and</w:t>
      </w:r>
    </w:p>
    <w:p>
      <w:pPr>
        <w:sectPr>
          <w:pgSz w:w="11900" w:h="16838" w:orient="portrait"/>
          <w:cols w:equalWidth="0" w:num="1">
            <w:col w:w="11180"/>
          </w:cols>
          <w:pgMar w:left="320" w:top="360" w:right="39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300" w:hanging="332"/>
        <w:spacing w:after="0" w:line="283" w:lineRule="auto"/>
        <w:tabs>
          <w:tab w:leader="none" w:pos="32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factors we may not be able to control, such as current or potential pandemics that may limit patients, principal investigators or staff or clinical site availability.</w:t>
      </w:r>
    </w:p>
    <w:p>
      <w:pPr>
        <w:spacing w:after="0" w:line="14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There is no guarantee that the results obtained in preclinical studies or our ongoing clinical trials of silevertinib will be sufficient to obtain regulatory approval or marketing authorization. Negative results in the development of our lead product candidate may also impact our ability to obtain regulatory approval for our other product candidates, either at all or within anticipated timeframes because, although other product candidates may target different indications, the underlying technology platform, manufacturing process and development process is the same for all of our product candidates. Accordingly, a failure in any one program may affect the ability to obtain regulatory approval to continue or conduct clinical programs for other product candidates. Moreover, anti-tumor activity may be different in each of the different tumor types and for the different genetic mutations we plan on evaluating in the clinical trial and may differ from the results seen in our preclinical studies. Therefore, the tumor response may be low in patients with some cancers compared to others. This may result in discontinuation of development of a product candidate for patients with these tumor types and/or mutations due to insufficient clinical benefit while continuing development for a more limited population of patients more likely to benefit. As a consequence, we may have to negotiate with the FDA to reach agreement on defining the optimal patient population, study design and size in order to obtain regulatory approval, any of which may require significant additional resources and delay the timing of our clinical trials and ultimately the approval, if any, of any of our product candidates.</w:t>
      </w:r>
    </w:p>
    <w:p>
      <w:pPr>
        <w:spacing w:after="0" w:line="19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In addition, because we have limited financial and personnel resources and are placing significant focus on the development of our lead clinical-stage product candidate,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product candidate, we may relinquish valuable rights to those product candidates through collaboration, licensing or other royalty arrangements in cases in which it would have been more advantageous for us to retain sole development and commercialization rights to such product candidates.</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Difficulty in enrolling patients could delay or prevent clinical trials of our product candidates. We may find it difficult to enroll patients in our Phase 2 clinical trial for silevertinib or future product candidates with the genetic mutations these product candidates are designed to target.</w:t>
      </w:r>
    </w:p>
    <w:p>
      <w:pPr>
        <w:spacing w:after="0" w:line="16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Identifying and qualifying patients to participate in clinical studies of our product candidates is critical to our success. The timing of completion of our clinical studies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are focused on patients with specific genetic mutations, our ability to enroll eligible patients may be limited or may result in slower enrollment than we anticipate. For example, for silevertinib, we cannot be certain how many patients will have the genetic mutations that this product candidate is designed to target or that the number of patients enrolled for each mutation will suffice for regulatory approval and inclusion of each such mutation in the approved label.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addition to the potentially small populations,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study. Additionally, the process of finding and diagnosing patients may prove costly. We also may not be able to identify, recruit and enroll a sufficient number of patients to complete our clinical studies because of the perceived risks and benefits of the product candidate under study, the availability and efficacy of competing therapies and clinical trials, the proximity and availability of clinical study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If we are unable to identify patients with the targeted genetic mutations, this could compromise our ability to seek participation in FDA’s expedited review and development programs, including Breakthrough Therapy Designation and Fast Track Designation, or otherwise seek to accelerate clinical development and regulatory timelines.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enrollment of patients further depends on many factors, including:</w:t>
      </w:r>
    </w:p>
    <w:p>
      <w:pPr>
        <w:spacing w:after="0" w:line="121"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proximity of patients to clinical trial sites;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 of the clinical trial;</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recruit clinical trial investigators with the appropriate competencies and experience;</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and maintain patient consents;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impacts of any pandemic or epidemic on clinical trial site activation and patient enrollment;</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reporting of the preliminary results of any of our clinical trials; and</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patients enrolled in clinical trials will drop out of the clinical trials before clinical trial completion.</w:t>
      </w:r>
    </w:p>
    <w:p>
      <w:pPr>
        <w:spacing w:after="0" w:line="22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and because most of our product candidates have not been tested in humans before, potential patients and their doctors may be inclined to use conventional therapies, such as chemotherapy, rather than enroll patients in any future clinical trial. Additionally, because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limited experience as a company in conducting clinical trials.</w:t>
      </w:r>
    </w:p>
    <w:p>
      <w:pPr>
        <w:spacing w:after="0" w:line="23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We have limited experience as a company in conducting clinical trials. In part because of this limited experience, we cannot be certain that any ongoing preclinical studies and clinical trials will be completed on time or if planned preclinical studies and clinical trials will begin or be completed on time, if at all. Large-scale clinical trials would require significant additional financial and management resources and reliance on third-party clinical investigators, contract research organizations (CROs), and consultants. Relying on third-party clinical investigators, CROs and consultants may force us to encounter delays that are outside of our control. We may be unable to identify and contract with sufficient investigators, CROs and consultants on a timely basis or at all. For silevertinib, we have entered into master services agreements with CROs to conduct our clinical trials. There can be no assurance that we will be able to negotiate and enter into any additional master services agreement with other CROs, as necessary, on terms that are acceptable to us on a timely basis or at all.</w:t>
      </w:r>
    </w:p>
    <w:p>
      <w:pPr>
        <w:spacing w:after="0" w:line="178"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preclinical studies and clinical trials may fail to demonstrate adequately the safety, potency, purity and efficacy of any of our product candidates, which would prevent or delay development, regulatory approval and commercialization.</w:t>
      </w:r>
    </w:p>
    <w:p>
      <w:pPr>
        <w:spacing w:after="0" w:line="1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our product candidates, including silevertinib, we must demonstrate through lengthy, complex and expensive preclinical studies and clinical trials that our product candidates are both safe and effective for use in each target indication. Preclinical and clinical testing is expensive and can take many years to complete, and its outcome is inherently uncertain. Failure can occur at any time during the preclinical study and clinical trial processes, and, because our product candidates are in an early stage of development, there is a high risk of failure and we may never succeed in developing marketable products.</w:t>
      </w:r>
    </w:p>
    <w:p>
      <w:pPr>
        <w:spacing w:after="0" w:line="19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 results of preclinical studies and early clinical trials of our product candidates may not be predictive of the results of later-stage clinical trials. Although product candidates may demonstrate promising results in preclinical studies and early clinical trials, they may not prove to be effective in subsequent clinical trials. For example, testing on animals occurs under different conditions than testing in humans and therefore, the results of animal studies may not accurately predict human experience. There is typically an extremely high rate of attrition from the failure of product candidates proceeding through preclinical studies and clinical trials. Product candidates in later stages of clinical trials may fail to show the desired safety, potency, purity and efficacy profile despite having progressed through preclinical studies and initial clinical trials. Likewise, early, smaller-scale clinical trials may not be predictive of eventual safety or effectiveness in large-scale pivotal clinical trials. A number of companies in the biopharmaceutical industry have suffered significant setbacks in advanced clinical trials due to lack of potency or efficacy, insufficient durability of potency or efficacy or unacceptable safety issues, notwithstanding promising results in earlier trials. Most product candidates that commence preclinical studies and clinical trials are never approved as products.</w:t>
      </w:r>
    </w:p>
    <w:p>
      <w:pPr>
        <w:spacing w:after="0" w:line="16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Any preclinical studies or clinical trials that we may conduct may not demonstrate the safety, potency, purity and efficacy necessary to obtain regulatory approval to market our product candidates. If the results of our ongoing or future preclinical studies and clinical trials are inconclusive with respect to the safety, potency, purity and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potency, purity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As is the case with all oncology drugs, it is likely that there may be side effects associated with their use.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Further, our product candidates could cause undesirable side effects in clinical trials related to on-target toxicity. For example, other EGFR inhibitors have experienced dose limiting toxicities due to rash in patients and, although we have designed our product candidates to be “wild-type” sparing to limit the risk of similar toxicities, clinical results may differ and patients may also experience similar or different toxicities that limit the dose and/or efficacy of our product candidates.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91"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169"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We submitted an IND for silevertinib in December 2021, which was allowed by the FDA in the first quarter of 2022. However, we may not be able to file INDs for our other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9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Since the number of patients that we plan to dose in our Phase 2 clinical trial of silevertinib is smaller than the number of patients that would be enrolled in a registration trial, the results from such clinical trials, once completed, may be less reliable than results achieved in larger clinical trials, which may hinder our efforts to obtain regulatory approval for our product candidates.</w:t>
      </w:r>
    </w:p>
    <w:p>
      <w:pPr>
        <w:spacing w:after="0" w:line="1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number of patients that we plan to dose in our initial clinical trials is small. The preliminary results of clinical trials with smaller sample sizes can be disproportionately influenced by various biases associated with the conduct of small clinical trials, such as the potential failure of the smaller sample size to accurately depict the features of the broader patient population, which limits the ability to generalize the results across a broader community, thus making the clinical trial results less reliable than clinical trials with a larger number of patients. As a result, there may be less certainty that such product candidates would achieve a statistically significant effect in any future clinical trials. If we conduct any future clinical trials of silevertinib, we may not achieve a statistically significant result or the same level of statistical significance, if any, that we might have anticipated based on the results observed in our initial clinical trials.</w:t>
      </w:r>
    </w:p>
    <w:p>
      <w:pPr>
        <w:spacing w:after="0" w:line="193" w:lineRule="exact"/>
        <w:rPr>
          <w:sz w:val="20"/>
          <w:szCs w:val="20"/>
          <w:color w:val="auto"/>
        </w:rPr>
      </w:pPr>
    </w:p>
    <w:p>
      <w:pPr>
        <w:ind w:right="440"/>
        <w:spacing w:after="0" w:line="253" w:lineRule="auto"/>
        <w:rPr>
          <w:sz w:val="20"/>
          <w:szCs w:val="20"/>
          <w:color w:val="auto"/>
        </w:rPr>
      </w:pPr>
      <w:r>
        <w:rPr>
          <w:rFonts w:ascii="Times New Roman" w:cs="Times New Roman" w:eastAsia="Times New Roman" w:hAnsi="Times New Roman"/>
          <w:sz w:val="20"/>
          <w:szCs w:val="20"/>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drug candidate. If our product candidates receive marketing approval and we or others identify undesirable side effects caused by such product candidates (or any other similar drugs) after such approval, a number of potentially significant negative consequences could result, including:</w:t>
      </w:r>
    </w:p>
    <w:p>
      <w:pPr>
        <w:spacing w:after="0" w:line="84"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withdraw or limit their approval of such product candidates;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a “boxed” warning or a contraindication;</w:t>
      </w:r>
    </w:p>
    <w:p>
      <w:pPr>
        <w:spacing w:after="0" w:line="121" w:lineRule="exact"/>
        <w:rPr>
          <w:rFonts w:ascii="Times New Roman" w:cs="Times New Roman" w:eastAsia="Times New Roman" w:hAnsi="Times New Roman"/>
          <w:sz w:val="20"/>
          <w:szCs w:val="20"/>
          <w:color w:val="auto"/>
        </w:rPr>
      </w:pPr>
    </w:p>
    <w:p>
      <w:pPr>
        <w:ind w:left="340" w:right="600" w:hanging="332"/>
        <w:spacing w:after="0" w:line="269" w:lineRule="auto"/>
        <w:tabs>
          <w:tab w:leader="none" w:pos="32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required to change the way such product candidates are distributed or administered, conduct additional clinical trials or change the labeling of the product candidates;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420" w:hanging="332"/>
        <w:spacing w:after="0" w:line="310" w:lineRule="auto"/>
        <w:tabs>
          <w:tab w:leader="none" w:pos="328"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16"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regulatory investigations and government enforcement actions;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decide to remove such product candidates from the marketplace;</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injury caused to individuals exposed to or taking our product candidates; and</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We believe that 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1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Clinical development involves a lengthy and expensive process with an uncertain outcome,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7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Our lead product candidate is in early clinical development and its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cannot be certain that our preclinical study and clinical trial results will be sufficient to support regulatory approval of our product candidates. Clinical testing is expensive and can take many years to complete, and its outcome is inherently uncertain. Human clinical trials are expensive and difficult to design and implement, in part because they are subject to rigorous regulatory requirements. Failure or delay can occur at any time during the clinical trial process.</w:t>
      </w:r>
    </w:p>
    <w:p>
      <w:pPr>
        <w:spacing w:after="0" w:line="18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Given that our Phase 2 clinical trial of silevertinib in patients with EGFRm NSCLC included an open-label dosing design, the results from this clinical trial may not be predictive of future clinical trial results with this or other product candidates for which we conduct an open-label clinical trial when studied in a controlled environment with a placebo or active control.</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may experience delays in obtaining the FDA’s authorization to initiate clinical trials under future INDs, completing ongoing preclinical studies of our other product candidates, and initiating our planned preclinical studies and clinical trials. Additionally, we cannot be certain that preclinical studies or clinical trials for our product candidates will begin on time, not require redesign, enroll an adequate number of subjects on time, or be completed on schedule,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Clinical trials can be delayed or terminated for a variety of reasons, including delays or failures related to:</w:t>
      </w:r>
    </w:p>
    <w:p>
      <w:pPr>
        <w:spacing w:after="0" w:line="121"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disagreeing as to the design or implementation of our clinical trials;</w:t>
      </w:r>
    </w:p>
    <w:p>
      <w:pPr>
        <w:spacing w:after="0" w:line="14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20"/>
          <w:szCs w:val="20"/>
          <w:color w:val="auto"/>
        </w:rPr>
        <w:t>the FDA or comparable foreign regulatory authorities disagreeing with our clinical development strategy;</w:t>
      </w:r>
    </w:p>
    <w:p>
      <w:pPr>
        <w:spacing w:after="0" w:line="84" w:lineRule="exact"/>
        <w:rPr>
          <w:rFonts w:ascii="Arial" w:cs="Arial" w:eastAsia="Arial" w:hAnsi="Arial"/>
          <w:sz w:val="22"/>
          <w:szCs w:val="22"/>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in obtaining regulatory approval to commence a clinical trial;</w:t>
      </w:r>
    </w:p>
    <w:p>
      <w:pPr>
        <w:spacing w:after="0" w:line="121" w:lineRule="exact"/>
        <w:rPr>
          <w:rFonts w:ascii="Times New Roman" w:cs="Times New Roman" w:eastAsia="Times New Roman" w:hAnsi="Times New Roman"/>
          <w:sz w:val="20"/>
          <w:szCs w:val="20"/>
          <w:color w:val="auto"/>
        </w:rPr>
      </w:pPr>
    </w:p>
    <w:p>
      <w:pPr>
        <w:ind w:left="340" w:right="220" w:hanging="332"/>
        <w:spacing w:after="0" w:line="269" w:lineRule="auto"/>
        <w:tabs>
          <w:tab w:leader="none" w:pos="32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IRB approval at each clinical trial site;</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an adequate number of suitable patients to participate in a clinical trial;</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having subjects complete a clinical trial or return for post-treatment follow-up;</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 sites deviating from clinical trial protocol or dropping out of a clinical trial;</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addressing subject safety concerns that arise during the course of a clinical trial;</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adding a sufficient number of clinical trial sites; or</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sufficient product supply of product candidate for use in preclinical studies or clinical trials from third-party suppliers.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may experience numerous adverse or unforeseen events during, or as a result of, preclinical studies and clinical trials that could delay or prevent our ability to receive marketing approval or commercialize our product candidates, including:</w:t>
      </w:r>
    </w:p>
    <w:p>
      <w:pPr>
        <w:spacing w:after="0" w:line="65"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receive feedback from regulatory authorities that requires us to modify the design of our clinical trials;</w:t>
      </w:r>
    </w:p>
    <w:p>
      <w:pPr>
        <w:spacing w:after="0" w:line="107" w:lineRule="exact"/>
        <w:rPr>
          <w:rFonts w:ascii="Times New Roman" w:cs="Times New Roman" w:eastAsia="Times New Roman" w:hAnsi="Times New Roman"/>
          <w:sz w:val="20"/>
          <w:szCs w:val="20"/>
          <w:color w:val="auto"/>
        </w:rPr>
      </w:pPr>
    </w:p>
    <w:p>
      <w:pPr>
        <w:ind w:left="340" w:right="60" w:hanging="332"/>
        <w:spacing w:after="0" w:line="283" w:lineRule="auto"/>
        <w:tabs>
          <w:tab w:leader="none" w:pos="32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of our product candidates may produce negative or inconclusive results, and we may decide, or regulators may require us, to conduct additional clinical trials or abandon our research efforts for our other product candidates;</w:t>
      </w:r>
    </w:p>
    <w:p>
      <w:pPr>
        <w:spacing w:after="0" w:line="5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clinical trials of our product candidates may not produce differentiated or clinically significant results across tumor types or indications;</w:t>
      </w:r>
    </w:p>
    <w:p>
      <w:pPr>
        <w:spacing w:after="0" w:line="119" w:lineRule="exact"/>
        <w:rPr>
          <w:rFonts w:ascii="Times New Roman" w:cs="Times New Roman" w:eastAsia="Times New Roman" w:hAnsi="Times New Roman"/>
          <w:sz w:val="19"/>
          <w:szCs w:val="19"/>
          <w:color w:val="auto"/>
        </w:rPr>
      </w:pPr>
    </w:p>
    <w:p>
      <w:pPr>
        <w:ind w:left="340" w:hanging="332"/>
        <w:spacing w:after="0" w:line="283" w:lineRule="auto"/>
        <w:tabs>
          <w:tab w:leader="none" w:pos="32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required for clinical trials of our product candidates may be larger than we anticipate, enrollment in these clinical trials may be slower than we anticipate or participants may drop out of our clinical trials at a higher rate than we anticipate;</w:t>
      </w:r>
    </w:p>
    <w:p>
      <w:pPr>
        <w:spacing w:after="0" w:line="38" w:lineRule="exact"/>
        <w:rPr>
          <w:rFonts w:ascii="Times New Roman" w:cs="Times New Roman" w:eastAsia="Times New Roman" w:hAnsi="Times New Roman"/>
          <w:sz w:val="20"/>
          <w:szCs w:val="20"/>
          <w:color w:val="auto"/>
        </w:rPr>
      </w:pPr>
    </w:p>
    <w:p>
      <w:pPr>
        <w:ind w:left="340" w:right="220" w:hanging="332"/>
        <w:spacing w:after="0" w:line="268" w:lineRule="auto"/>
        <w:tabs>
          <w:tab w:leader="none" w:pos="32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contractors may fail to comply with regulatory requirements, fail to maintain adequate quality controls or be unable to provide us with sufficient product supply to conduct and complete preclinical studies or clinical trials of our product candidates in a timely manner, or at all;</w:t>
      </w:r>
    </w:p>
    <w:p>
      <w:pPr>
        <w:spacing w:after="0" w:line="53" w:lineRule="exact"/>
        <w:rPr>
          <w:rFonts w:ascii="Times New Roman" w:cs="Times New Roman" w:eastAsia="Times New Roman" w:hAnsi="Times New Roman"/>
          <w:sz w:val="20"/>
          <w:szCs w:val="20"/>
          <w:color w:val="auto"/>
        </w:rPr>
      </w:pPr>
    </w:p>
    <w:p>
      <w:pPr>
        <w:ind w:left="340" w:right="160" w:hanging="332"/>
        <w:spacing w:after="0" w:line="261" w:lineRule="auto"/>
        <w:tabs>
          <w:tab w:leader="none" w:pos="32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0"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40" w:hanging="332"/>
        <w:spacing w:after="0" w:line="261" w:lineRule="auto"/>
        <w:tabs>
          <w:tab w:leader="none" w:pos="32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trials of our product candidates may be greater than we anticipate, for example, if we experiences delays or challenges in identifying patients with the mutations required for our clinical trials, we may have to reimburse sites for genetic sequencing costs in order to encourage sequencing of additional patients;</w:t>
      </w:r>
    </w:p>
    <w:p>
      <w:pPr>
        <w:spacing w:after="0" w:line="73" w:lineRule="exact"/>
        <w:rPr>
          <w:rFonts w:ascii="Times New Roman" w:cs="Times New Roman" w:eastAsia="Times New Roman" w:hAnsi="Times New Roman"/>
          <w:sz w:val="20"/>
          <w:szCs w:val="20"/>
          <w:color w:val="auto"/>
        </w:rPr>
      </w:pPr>
    </w:p>
    <w:p>
      <w:pPr>
        <w:ind w:left="340" w:right="20" w:hanging="332"/>
        <w:spacing w:after="0" w:line="261" w:lineRule="auto"/>
        <w:tabs>
          <w:tab w:leader="none" w:pos="32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quality of our product candidates or other materials necessary to conduct preclinical studies or clinical trials of our product candidates may be insufficient or inadequate, and any transfer of manufacturing activities may require unforeseen manufacturing or formulation changes;</w:t>
      </w:r>
    </w:p>
    <w:p>
      <w:pPr>
        <w:spacing w:after="0" w:line="7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may revise the requirements for approving our product candidates, or such requirements may not be as we anticipate; and</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collaborators may conduct clinical trials in ways they view as advantageous to them but that are suboptimal for us.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If we are required or choose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w:t>
      </w:r>
    </w:p>
    <w:p>
      <w:pPr>
        <w:spacing w:after="0" w:line="17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9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If we experience delays in the completion, or termination, of any preclinical study or clinical trial of our product candidates, the commercial prospects of our product candidates may be harmed, and our ability to generate revenues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MAP drug discovery engine could have little, if any, value, which would have a material and adverse effect on our business, financial condition, results of operations and prospects.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9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conducting the clinical trial for our lead product candidate at clinical sites outside the United States, and the FDA and comparable foreign regulatory authorities may not accept such data from such clinical sites.</w:t>
      </w:r>
    </w:p>
    <w:p>
      <w:pPr>
        <w:spacing w:after="0" w:line="14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auto"/>
        </w:rPr>
        <w:t>We are conducting the clinical trial for our lead product candidate at certain clinical sites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w:t>
      </w:r>
    </w:p>
    <w:p>
      <w:pPr>
        <w:spacing w:after="0" w:line="2" w:lineRule="exact"/>
        <w:rPr>
          <w:sz w:val="20"/>
          <w:szCs w:val="20"/>
          <w:color w:val="auto"/>
        </w:rPr>
      </w:pPr>
    </w:p>
    <w:p>
      <w:pPr>
        <w:ind w:right="80" w:firstLine="8"/>
        <w:spacing w:after="0" w:line="262" w:lineRule="auto"/>
        <w:tabs>
          <w:tab w:leader="none" w:pos="23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Further, recent policy proposals in the U.S., if enacted in the future, may make acceptance by the FDA or inclusion in a U.S. marketing application of foreign data more difficult or costly.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product candidates that we may develop not receiving approval for commercialization in the applicable jurisdiction.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approach</w:t>
      </w:r>
    </w:p>
    <w:p>
      <w:pPr>
        <w:spacing w:after="0" w:line="225"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are focused on the development of precision medicines for patients with genetically defined cancers, which is a rapidly evolving area of science, and the approach we have taken to discover, and are taking to develop drugs is novel and may never lead to marketable products.</w:t>
      </w:r>
    </w:p>
    <w:p>
      <w:pPr>
        <w:spacing w:after="0" w:line="16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the mutations targeted by our programs are oncogenic drivers, clinical results may not confirm this hypothesis or may only confirm it for certain mutations or certain tumor types. The patient populations for our product candidates are limited to those with specific target mutations and may not be completely defined but are substantially smaller than the general treated cancer population, and we will need to screen and identify these patients with the targeted mutations. Successful identification of patients is dependent on several factors, including achieving certainty as to how specific genetic alterations respond to our product candidates and using nucleic acid based testing methods, like Next-Generation Sequencing, to identify such genetic alterations. Furthermore, even if we are successful in identifying patients, we cannot be certain that the resulting patient populations for each mutation will be large enough to allow us to successfully obtain approval for each mutation type and commercialize our products and achieve profitability. In addition, even if our approach is successful in showing clinical benefit for tumors harboring the targeted mutations targeted in our current clinical trials, we may never successfully identify additional oncogenic mutations for other receptor tyrosine kinases. Therefore, we do not know if our approach of treating patients with genetically defined cancers will be successful, and if our approach is unsuccessful, our business will suffer.</w:t>
      </w:r>
    </w:p>
    <w:p>
      <w:pPr>
        <w:spacing w:after="0" w:line="182" w:lineRule="exact"/>
        <w:rPr>
          <w:sz w:val="20"/>
          <w:szCs w:val="20"/>
          <w:color w:val="auto"/>
        </w:rPr>
      </w:pPr>
    </w:p>
    <w:p>
      <w:pPr>
        <w:ind w:right="5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approach to the development of product candidates is unproven, and we may not be successful in our efforts to develop product candidates with commercial value.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 key element of our strategy has been to use our MAP drug discovery engine to build a pipeline of product candidates and progress these product candidates through clinical development for the treatment of various cancers. Although our research and development efforts to date have resulted in our discovery and development of silevertinib and BDTX-4933, these clinical-stage candidates may not be safe or effective as cancer treatments, and we may not be able to develop any other product candidates. Our MAP drug discovery engine may not in the future support the continued expansion of our pipeline of product candidates. Our pipeline of product candidates and potential future product candidates may not be suitable for further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9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our product candidates may be relatively small and limited to those patients who are ineligible for or have failed prior treatments and our estimates of the prevalence of our target patient populations may be inaccurate.</w:t>
      </w:r>
    </w:p>
    <w:p>
      <w:pPr>
        <w:spacing w:after="0" w:line="14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Cancer therapies are sometimes characterized as first line, second line, or third line, and the FDA often approves new therapies initially only for a particular line of use. When cancer is detected early enough, first line therapy is sometimes adequate to cure the cancer or prolong life without a cure. Whenever first line therapy,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or third line therapy, for use in patients with relapsed or refractory metastatic cancer. Subsequently, for those product candidates that prove to be sufficiently safe and beneficial, if any, we would expect to seek approval as a second line therapy and potentially as a first line therapy, but there is no guarantee that our product candidates, even if approved as a second or third or subsequent line of therapy, would be approved for an earlier line of therapy, and, prior to any such approvals, we may have to conduct additional clinical trials.</w:t>
      </w:r>
    </w:p>
    <w:p>
      <w:pPr>
        <w:spacing w:after="0" w:line="20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Our projections of both the number of people who have the cancers we are targeting, who may have their tumors genetically sequenced, as well as the subset of people with these cancers in a position to receive a particular line of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global events</w:t>
      </w:r>
    </w:p>
    <w:p>
      <w:pPr>
        <w:spacing w:after="0" w:line="225"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Business, economic or geopolitical disruptions or global health concerns could seriously harm our development efforts and increase our costs and expenses.</w:t>
      </w:r>
    </w:p>
    <w:p>
      <w:pPr>
        <w:spacing w:after="0" w:line="16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Broad-based business, macroeconomic conditions or market volatility resulting from national or global economic developments, political unrest, high inflation, changing interest rates, international tariffs, changes in international trade relationships and military conflicts could adversely affect our ongoing or planned research and development activities.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Tariffs levied by the U.S. and other countries also may adversely affect financial markets and the global economy. For example, in 2025, the U.S. imposed substantial tariffs on imports from its trading partners, including, without limitation, Canada, Mexico, the EU and China. In response to tariffs, other countries have implemented retaliatory tariffs on U.S. goods. While certain tariffs were subsequently suspended, modified, or temporarily reduced, and the U.S. Supreme Court ruling in February 2026 invalidated a significant portion of the tariffs previously imposed by the U.S. government under emergency statutory authority, the Trump administration has indicated its intention to pursue alternative statutory mechanisms to reinstate or impose new tariffs. In addition, the Trump administration has threatened to continue to broadly impose tariffs, which could lead to corresponding punitive actions by the countries with which the U.S. trades. The applicability of, and lack of clarity around, trade tariffs imposed by the U.S. government and retaliatory tariffs imposed by other governments may have a significant impact on the financial condition of companies. We cannot predict the results of the U.S. government’s trade negotiations or the outcome of ongoing legal challenges to specific tariff policies.</w:t>
      </w:r>
    </w:p>
    <w:p>
      <w:pPr>
        <w:spacing w:after="0" w:line="1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Any such disruptions or concerns may impact a broad range of stakeholders, including our target patient populations, the hospitals and clinical sites in which we conduct any of our clinical trials, third parties with whom we engage, including our CROs, suppliers and regulators. Such impacts could materially negatively affect our ability to conduct our business in the manner or on the timelines presently planned by causing delays in the enrollment of our clinical trials, the manufacture and supply of our product candidates, the conduct of experiments and studies and other interruptions and potential limitations on the quality, completeness and interpretability of data we are able to collect.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if the operations of our third-party manufacturers of drug substances and drug products in China were to be negatively affected, including as a result of the escalation of tariffs or other trade restrictions it could result in delays or disruptions in the supply of our product candidates and the conduct of our clinical studies. On December 18, 2025, the U.S. enacted the BIOSECURE Act, which prohibits U.S. federal agencies from entering into or renewing a contract with any company that uses biotechnology equipment or services produced or provided by a “biotechnology company of concern” in the performance of that contract. It also prohibits loans or grant funding from U.S. federal agencies to entities that use any biotechnology equipment or services produced or provided by a “biotechnology company of concern” in the performance of the government grant or loan. The BIOSECURE Act does not identify any specific companies as “biotechnology companies of concern” but treats any company on the Department of Defense 1260H list of “Chinese military companies” as a “biotechnology company of concern.” By December 18, 2026, the Director of the Office of Management (OMB), and Budget will publish a full list of “biotechnology companies of concern” based on recommendations from key federal Secretaries and Directors, including Defense, Justice, HHS, Commerce, National Intelligence, Homeland Security, State, and National Cyber. The Director of OMB will thereafter review and update that list at least annually, based on recommendations from those key federal Secretaries and Directors. Although there is a five-year safe harbor for existing contracts with companies later designated as “biotechnology companies of concern,” the safe harbor is unavailable for existing contracts with companies named on the 1260H list as of December 18, 2025. As a result of this legislation, we may not be able to engage a backup or alternative supplier or service provider in a timely manner or at all. This, in turn, could materially and adversely affect our or our collaborators’ ability to manufacture or supply product candidates or advance our clinical development programs, which could materially and adversely affect our business and future prospects. We continue to assess the impact of the legislation and its potential impacts on our contractual relationships.</w:t>
      </w:r>
    </w:p>
    <w:p>
      <w:pPr>
        <w:spacing w:after="0" w:line="18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Any negative impact to patient enrollment or treatment or the timing and execution of our clinical trials could cause costly delays to our development programs, which could adversely affect our ability to obtain regulatory approval for and to commercialize our product candidates, increase our operating expenses and have a material adverse effect on our business and financial results. Also,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A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18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Any of the foregoing could harm our business and we cannot anticipate all of the ways in which the current economic climate and financial market conditions could adversely impact our business.</w:t>
      </w:r>
    </w:p>
    <w:p>
      <w:pPr>
        <w:spacing w:after="0" w:line="169"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or third parties upon whom we depend may be adversely affected by natural disasters, global health pandemics, armed conflicts, trade restrictions, or other business interruptions, and our business, financial condition and results of operations could be adversely affected.</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occurrence of unforeseen or catastrophic events, including extreme weather events and other natural disasters, man-made disasters, power shortages, telecommunications failures, or the emergence of epidemics or pandemics, depending on their scale, may cause different degrees of damage to the national and local economies and could cause a disruption in our operations, and those of our CROs, CMOs and other contractors and consultants, and have a material adverse effect on our financial condition and results of operations. Man-made disasters, pandemics, armed conflicts, trade restrictions, and other business disruptions or events connected with the regions in which we operate could have similar effects. If a natural disaster, health pandemic, or other event beyond our control occurred that prevented us from using all or a significant portion of our office and/or lab spaces, damaged critical infrastructure, such as our manufacturing facilities or our manufacturing facilities of our third-party CMOs, or that otherwise disrupted operations, it may be difficult for us to continue our business for a substantial period of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manufacturing and supply</w:t>
      </w:r>
    </w:p>
    <w:p>
      <w:pPr>
        <w:spacing w:after="0" w:line="225"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Manufacturing our product candidates is complex and we may encounter difficulties in production. We will rely on third parties to manufacture our preclinical and clinical product supplies, and we may rely on third parties to produce and process our product candidates, if approved. If we encounter such difficulties, our ability to provide supply of our product candidates for preclinical studies and clinical trials or for commercial purposes could be delayed or stopped.</w:t>
      </w:r>
    </w:p>
    <w:p>
      <w:pPr>
        <w:spacing w:after="0" w:line="16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process of manufacturing of our product candidates is complex and highly regulated. We do not currently own any facility that may be used as our clinical scale manufacturing facility and rely on outside vendors to manufacture supplies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Our contract manufacturers may incorporate their own proprietary processes into our product candidate manufacturing processes. We have limited control and oversight of a third party contract manufacturer’s proprietary process, and a third-party contract manufacturer may elect to modify its process without our consent or knowledge. These modifications could negatively impact our manufacturing, including product loss or failure that requires additional manufacturing runs or a change in manufacturer, both of which could significantly increase the cost of and significantly delay the manufacture of our product candidates.</w:t>
      </w:r>
    </w:p>
    <w:p>
      <w:pPr>
        <w:spacing w:after="0" w:line="18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As our product candidates progress through preclinical studies and clinical trials towards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product candidates and additional bridging studies or trials may be required.</w:t>
      </w:r>
    </w:p>
    <w:p>
      <w:pPr>
        <w:spacing w:after="0" w:line="18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The facilities used by our contract manufacturers to manufacture our product candidates must be approved by the FDA or other foreign regulatory authorities following inspections that will be conducted after we submit an application to the FDA or other foreign regulatory authorities. We may not control the manufacturing process of, and may be completely dependent on, our contract manufacturing partners for compliance with cGMPs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significantly impact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If any contract manufacturer with whom we contract fails to perform its obligations, we may be forced to manufacture the materials ourselves, for which we may not have the capabilities or resources, or enter into an agreement with a different contract manufacturer, which we may not be able to do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In addition, if we are required to change contract manufacturers for any reason, we will be required to verify that the new contract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We may be unsuccessful in demonstrating the comparability of clinical supplies which could require the conduct of additional clinical trials. The delays associated with the verification of a new contract manufacturer could negatively affect our ability to develop product candidates or commercialize our products in a timely manner or within budget.</w:t>
      </w:r>
    </w:p>
    <w:p>
      <w:pPr>
        <w:spacing w:after="0" w:line="19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Legislative proposals are pending that, if enacted, could negatively impact U.S. funding for certain biotechnology providers having relationships with foreign adversaries or which pose a threat to national security. The potential downstream adverse impacts on entities having only commercial relationships with any impacted biotechnology providers is unknown but may include supply chain disruptions or delays.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sales, marketing and competition</w:t>
      </w:r>
    </w:p>
    <w:p>
      <w:pPr>
        <w:spacing w:after="0" w:line="225"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166"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9"/>
          <w:szCs w:val="19"/>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4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62"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variety of risks associated with marketing our product candidates internationally could materially adversely affect our business.</w:t>
      </w:r>
    </w:p>
    <w:p>
      <w:pPr>
        <w:spacing w:after="0" w:line="220"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20"/>
          <w:szCs w:val="20"/>
          <w:color w:val="auto"/>
        </w:rPr>
        <w:t>We plan to seek regulatory approval of our product candidates outside of the United States and, accordingly, we expect that we will be subject to additional risks related to operating in foreign countries if we obtain the necessary approvals, including:</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100" w:hanging="328"/>
        <w:spacing w:after="0" w:line="258"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regulatory requirements in foreign countries, for example, many jurisdictions outside the United States do not have a pathway for accelerated drug approval (or an accelerated pathway is only available for limited categories of product candidates) and so obtaining regulatory approvals outside of the United States will take longer and be more costly than obtaining approval in the United States;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tariffs, trade barriers, price and exchange controls and other regulatory requirements;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weakness, including inflation, or political instability in particular foreign economies and markets;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tax, employment, immigration and labor laws for employees living or traveling abroad;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taxes, including withholding of payroll taxes;</w:t>
      </w:r>
    </w:p>
    <w:p>
      <w:pPr>
        <w:spacing w:after="0" w:line="121"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fluctuations, which could result in increased operating expenses and reduced revenue, and other obligations incident to doing business in another country;</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staffing and managing foreign operations;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workforce uncertainty in countries where labor unrest is more common than in the United States;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liability under the Foreign Corrupt Practices Act of 1977 or comparable foreign regulations;</w:t>
      </w:r>
    </w:p>
    <w:p>
      <w:pPr>
        <w:spacing w:after="0" w:line="121" w:lineRule="exact"/>
        <w:rPr>
          <w:rFonts w:ascii="Times New Roman" w:cs="Times New Roman" w:eastAsia="Times New Roman" w:hAnsi="Times New Roman"/>
          <w:sz w:val="20"/>
          <w:szCs w:val="20"/>
          <w:color w:val="auto"/>
        </w:rPr>
      </w:pPr>
    </w:p>
    <w:p>
      <w:pPr>
        <w:ind w:left="660" w:right="42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challenges enforcing our contractual and intellectual property rights, especially in those foreign countries that do not respect and protect intellectual property rights to the same extent as the United States;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shortages resulting from any events affecting raw material supply or manufacturing capabilities abroad;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interruptions resulting from geopolitical actions, including war and terrorism.</w:t>
      </w:r>
    </w:p>
    <w:p>
      <w:pPr>
        <w:spacing w:after="0" w:line="216"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20"/>
          <w:szCs w:val="20"/>
          <w:color w:val="auto"/>
        </w:rPr>
        <w:t>These and other risks associated with international operations may materially adversely affect our ability to attain or maintain profitable operations.</w:t>
      </w:r>
    </w:p>
    <w:p>
      <w:pPr>
        <w:spacing w:after="0" w:line="142"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4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w:t>
      </w:r>
    </w:p>
    <w:p>
      <w:pPr>
        <w:spacing w:after="0" w:line="169" w:lineRule="exact"/>
        <w:rPr>
          <w:sz w:val="20"/>
          <w:szCs w:val="20"/>
          <w:color w:val="auto"/>
        </w:rPr>
      </w:pPr>
    </w:p>
    <w:p>
      <w:pPr>
        <w:ind w:right="6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The use of precision medicines as a potential cancer treatment is a recent development and may not become broadly accepted by physicians, patients, hospitals, cancer treatment centers and others in the medical community. Various factors will influence whether our product candidates are accepted in the market, including:</w:t>
      </w:r>
    </w:p>
    <w:p>
      <w:pPr>
        <w:spacing w:after="0" w:line="60"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our product candidates are licensed;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physicians, hospitals, cancer treatment centers and patients considering our product candidates as a safe and effective treatment;</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and perceived advantages of our product candidates over alternative treatments;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demonstrate the advantages of our product candidates over other cancer medicines;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and severity of any side effects for other precision medicines and public perception of other precision medicines;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labeling or product insert requirements of the FDA or other regulatory authorities;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or warnings contained in the labeling approved by the FDA;</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of market introduction of our product candidates as well as competitive products;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treatment in relation to alternative treatments;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adequate coverage, reimbursement and pricing by third-party payors and government authorities;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patients to pay out-of-pocket in the absence of coverage by third-party payors and government authorities;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 including as compared to alternative treatments and competitive therapies;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our sales and marketing efforts.</w:t>
      </w:r>
    </w:p>
    <w:p>
      <w:pPr>
        <w:spacing w:after="0" w:line="21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92" w:lineRule="exact"/>
        <w:rPr>
          <w:sz w:val="20"/>
          <w:szCs w:val="20"/>
          <w:color w:val="auto"/>
        </w:rPr>
      </w:pPr>
    </w:p>
    <w:p>
      <w:pPr>
        <w:ind w:right="500"/>
        <w:spacing w:after="0" w:line="295" w:lineRule="auto"/>
        <w:rPr>
          <w:sz w:val="20"/>
          <w:szCs w:val="20"/>
          <w:color w:val="auto"/>
        </w:rPr>
      </w:pPr>
      <w:r>
        <w:rPr>
          <w:rFonts w:ascii="Times New Roman" w:cs="Times New Roman" w:eastAsia="Times New Roman" w:hAnsi="Times New Roman"/>
          <w:sz w:val="19"/>
          <w:szCs w:val="19"/>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47" w:lineRule="exact"/>
        <w:rPr>
          <w:sz w:val="20"/>
          <w:szCs w:val="20"/>
          <w:color w:val="auto"/>
        </w:rPr>
      </w:pPr>
    </w:p>
    <w:p>
      <w:pPr>
        <w:ind w:right="7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1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potential competition from many different sources, including major pharmaceuticals, specialty pharmaceuticals and biotechnology companies, academic institutions and government agencies, and public and private research institutes that conduct research, development, manufacturing and commercialization. Many of our competitors have significantly greater financial resources and expertise in research and development, manufacturing, preclinical testing, regulatory approvals and product marketing than we do. Our competitors may compete with us in recruiting and retaining qualified scientific and management personnel and establishing clinical trial sites and patient registration for clinical trials, as well as in acquiring technologies complementary to, or necessary for, our programs. As a result, our competitors may discover, develop, license or commercialize products before or more successfully than we do.</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Product candidates that we successfully develop and commercialize will compete with existing therapies and new therapies that may become available in the future. Specifically for silevertinib, we expect competition primarily in the EGFRm NSCLC and GBM patient populations, including: combination of amivantamab, or Rybrevant®, and lazertinib or Lazcluze, which is marketed by Janssen Biotech, Inc.; patritumab deruxtecan, which is being developed by Merck &amp; Co., Inc. and Daiichi Sankyo Co.; datopotamab deruxtecan, which is developed by AstraZeneca plc and Daiichi Sankyo Co.; ivonescimab, which is under development by Summit Therapeutics and Akeso; TAS3351, which is being developed by Taiho Oncology; BBT-207, which is being developed by Bridge Biotherapeutics, Inc.; JIN-A02, which is under development by J Ints Bio, afatinib, or Gilotrif® (Boehringer Ingelheim International GmbH) and approved as first-line treatment of NSCLC patients with S768I, L861Q, and/or G719X mutations; osimertinib, or Tagrisso® (AstraZeneca plc) which may be prescribed off-label for NSCLC patients with exon 18 mutations; firmonertinib, which is under development by ArriVent Biopharma, Inc. and Shanghai Allist Pharmaceuticals Co., Ltd.; ORIC-114 which is being developed by ORIC Pharmaceuticals, Inc.; zipalertinib, which is under development by Taiho Oncology, Inc. and Cullinan Therapeutics, Inc.; BH-30643, which is under development by BlossomHill Therapeutics, Inc.; WSD-0922-FU, which is under development by Wayshine Biopharm International Ltd.; and TAS-2940, which is under development by Taiho Oncology, Inc.</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If our drug candidates, including silevertinib, are approved for the indications for which we are currently conducting or planning clinical trials, they will likely compete with the competitor drugs mentioned above and with other drugs that are currently in development.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“Business—Competition.”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capital requirements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past financial condition</w:t>
      </w:r>
    </w:p>
    <w:p>
      <w:pPr>
        <w:spacing w:after="0" w:line="225" w:lineRule="exact"/>
        <w:rPr>
          <w:sz w:val="20"/>
          <w:szCs w:val="20"/>
          <w:color w:val="auto"/>
        </w:rPr>
      </w:pPr>
    </w:p>
    <w:p>
      <w:pPr>
        <w:ind w:right="6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limited operating history may make it difficult for you to evaluate the success of our business to date and to assess our future viability.</w:t>
      </w:r>
    </w:p>
    <w:p>
      <w:pPr>
        <w:spacing w:after="0" w:line="1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We are a biotechnology company with a limited operating history. We commenced operations in December 2014, and our operations to date have been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our product candidates and component materials. Most of our product candidates are still in early clinical or preclinical development. We have not yet demonstrated our ability to successfully conduct or complete any clinical trials, obtain marketing approvals, manufacture a commercial-scale product or arrange for a third-party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9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In addition, as an early clinical-stage company, we may encounter unforeseen expenses, difficulties, complications, delays and other known and unknown factors. As we advance our product candidate, we will need to transition at some point from a company with a research and development focus to a company capable of supporting commercial activities. We may not be successful in such a transition.</w:t>
      </w:r>
    </w:p>
    <w:p>
      <w:pPr>
        <w:spacing w:after="0" w:line="164"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inception, and we expect to incur losses over the next several years and may not be able to achieve or sustain revenues or profitability in the future.</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still in the early stages of development of our product candidates. Our most advanced product candidate, silevertinib, is currently only in a Phase 2 clinical trial. We have no products approved for commercial sale and have not generated any revenue from product sales to date, and we continue to incur significant research and development and other expenses related to our ongoing operations.</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We have incurred significant net losses since we commenced operations in December 2014. For the years ended December 31, 2025 and 2024, we reported net income of $22.4 million and net loss of $69.7 million, respectively. As of December 31, 2025, we had an accumulated deficit of $464.7 million. We expect to continue to incur significant losses for the foreseeable future, and we expect these losses to increase substantially if and as we:</w:t>
      </w:r>
    </w:p>
    <w:p>
      <w:pPr>
        <w:spacing w:after="0" w:line="79" w:lineRule="exact"/>
        <w:rPr>
          <w:sz w:val="20"/>
          <w:szCs w:val="20"/>
          <w:color w:val="auto"/>
        </w:rPr>
      </w:pPr>
    </w:p>
    <w:p>
      <w:pPr>
        <w:ind w:left="660" w:right="480" w:hanging="328"/>
        <w:spacing w:after="0" w:line="28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preclinical studies and clinical trials for our current and future product candidates based on our Mutation—Allostery— Pharmacology, or MAP, drug discovery engine;</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approvals for any product candidates that successfully complete clinical trials;</w:t>
      </w:r>
    </w:p>
    <w:p>
      <w:pPr>
        <w:spacing w:after="0" w:line="121" w:lineRule="exact"/>
        <w:rPr>
          <w:rFonts w:ascii="Times New Roman" w:cs="Times New Roman" w:eastAsia="Times New Roman" w:hAnsi="Times New Roman"/>
          <w:sz w:val="20"/>
          <w:szCs w:val="20"/>
          <w:color w:val="auto"/>
        </w:rPr>
      </w:pPr>
    </w:p>
    <w:p>
      <w:pPr>
        <w:ind w:left="660" w:right="400" w:hanging="328"/>
        <w:spacing w:after="0" w:line="269"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 any delays or encounter any issues with any of the above, including but not limited to failed studies, complex results, safety issues or other regulatory challenges;</w:t>
      </w:r>
    </w:p>
    <w:p>
      <w:pPr>
        <w:spacing w:after="0" w:line="64" w:lineRule="exact"/>
        <w:rPr>
          <w:rFonts w:ascii="Times New Roman" w:cs="Times New Roman" w:eastAsia="Times New Roman" w:hAnsi="Times New Roman"/>
          <w:sz w:val="20"/>
          <w:szCs w:val="20"/>
          <w:color w:val="auto"/>
        </w:rPr>
      </w:pPr>
    </w:p>
    <w:p>
      <w:pPr>
        <w:ind w:left="660" w:right="540" w:hanging="328"/>
        <w:spacing w:after="0" w:line="283" w:lineRule="auto"/>
        <w:tabs>
          <w:tab w:leader="none" w:pos="64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expand, maintain, enforce and protect our intellectual property portfolio;</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 additional clinical, regulatory and other scientific personnel;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operate as a public company.</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not generated any revenue from our product candidates and may never be profitable.</w:t>
      </w:r>
    </w:p>
    <w:p>
      <w:pPr>
        <w:spacing w:after="0" w:line="23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Our ability to become profitable depends upon our ability to generate revenue. To date, we have not generated any revenue from any of our product candidates. We do not expect to generate significant revenue unless or until we successfully complete clinical development and obtain regulatory approval of, and then successfully commercialize, at least one of our product candidates. Most of our product candidates are in early clinical or preclinical stages of development and will require additional preclinical studies, clinical development, regulatory review and approval, substantial investment, access to sufficient commercial manufacturing capacity and significant marketing efforts before we can generate any revenue from product sales. Our most advanced product candidate, silevertinib, is currently only in a Phase 2 clinical trial. Our ability to generate revenue depends on a number of factors, including, but not limited to:</w:t>
      </w:r>
    </w:p>
    <w:p>
      <w:pPr>
        <w:spacing w:after="0" w:line="85" w:lineRule="exact"/>
        <w:rPr>
          <w:sz w:val="20"/>
          <w:szCs w:val="20"/>
          <w:color w:val="auto"/>
        </w:rPr>
      </w:pPr>
    </w:p>
    <w:p>
      <w:pPr>
        <w:ind w:left="340" w:right="740" w:hanging="332"/>
        <w:spacing w:after="0" w:line="269" w:lineRule="auto"/>
        <w:tabs>
          <w:tab w:leader="none" w:pos="32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timely completion of our preclinical studies and clinical trials, which may be significantly slower or cost more than we currently anticipate and will depend substantially upon the performance of third-party contractors;</w:t>
      </w:r>
    </w:p>
    <w:p>
      <w:pPr>
        <w:spacing w:after="0" w:line="64" w:lineRule="exact"/>
        <w:rPr>
          <w:rFonts w:ascii="Times New Roman" w:cs="Times New Roman" w:eastAsia="Times New Roman" w:hAnsi="Times New Roman"/>
          <w:sz w:val="20"/>
          <w:szCs w:val="20"/>
          <w:color w:val="auto"/>
        </w:rPr>
      </w:pPr>
    </w:p>
    <w:p>
      <w:pPr>
        <w:ind w:left="340" w:right="120" w:hanging="332"/>
        <w:spacing w:after="0" w:line="283" w:lineRule="auto"/>
        <w:tabs>
          <w:tab w:leader="none" w:pos="32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hanging="332"/>
        <w:spacing w:after="0" w:line="281" w:lineRule="auto"/>
        <w:tabs>
          <w:tab w:leader="none" w:pos="32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demonstrate to the satisfaction of the FDA and similar foreign regulatory authorities the safety, potency, purity, efficacy and acceptable risk to benefit profile of our product candidates or any future product candidates and such regulatory authorities’ acceptance of our clinical development strategy (i.e., our pursuit of approval based on a biomarker rather than a specific cancer indication);</w:t>
      </w:r>
    </w:p>
    <w:p>
      <w:pPr>
        <w:spacing w:after="0" w:line="56" w:lineRule="exact"/>
        <w:rPr>
          <w:rFonts w:ascii="Times New Roman" w:cs="Times New Roman" w:eastAsia="Times New Roman" w:hAnsi="Times New Roman"/>
          <w:sz w:val="19"/>
          <w:szCs w:val="19"/>
          <w:color w:val="auto"/>
        </w:rPr>
      </w:pPr>
    </w:p>
    <w:p>
      <w:pPr>
        <w:ind w:left="340" w:right="360" w:hanging="332"/>
        <w:spacing w:after="0" w:line="269" w:lineRule="auto"/>
        <w:tabs>
          <w:tab w:leader="none" w:pos="32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prevalence, duration and severity of potential side effects or other safety issues experienced with our product candidates or future product candidates, if any;</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timely receipt of necessary marketing approvals from the FDA and similar foreign regulatory authorities;</w:t>
      </w:r>
    </w:p>
    <w:p>
      <w:pPr>
        <w:spacing w:after="0" w:line="121" w:lineRule="exact"/>
        <w:rPr>
          <w:rFonts w:ascii="Times New Roman" w:cs="Times New Roman" w:eastAsia="Times New Roman" w:hAnsi="Times New Roman"/>
          <w:sz w:val="20"/>
          <w:szCs w:val="20"/>
          <w:color w:val="auto"/>
        </w:rPr>
      </w:pPr>
    </w:p>
    <w:p>
      <w:pPr>
        <w:ind w:left="340" w:right="740" w:hanging="332"/>
        <w:spacing w:after="0" w:line="269" w:lineRule="auto"/>
        <w:tabs>
          <w:tab w:leader="none" w:pos="32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64" w:lineRule="exact"/>
        <w:rPr>
          <w:rFonts w:ascii="Times New Roman" w:cs="Times New Roman" w:eastAsia="Times New Roman" w:hAnsi="Times New Roman"/>
          <w:sz w:val="20"/>
          <w:szCs w:val="20"/>
          <w:color w:val="auto"/>
        </w:rPr>
      </w:pPr>
    </w:p>
    <w:p>
      <w:pPr>
        <w:ind w:left="340" w:right="380" w:hanging="332"/>
        <w:spacing w:after="0" w:line="269" w:lineRule="auto"/>
        <w:tabs>
          <w:tab w:leader="none" w:pos="32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64" w:lineRule="exact"/>
        <w:rPr>
          <w:rFonts w:ascii="Times New Roman" w:cs="Times New Roman" w:eastAsia="Times New Roman" w:hAnsi="Times New Roman"/>
          <w:sz w:val="20"/>
          <w:szCs w:val="20"/>
          <w:color w:val="auto"/>
        </w:rPr>
      </w:pPr>
    </w:p>
    <w:p>
      <w:pPr>
        <w:jc w:val="both"/>
        <w:ind w:left="340" w:right="540" w:hanging="332"/>
        <w:spacing w:after="0" w:line="261" w:lineRule="auto"/>
        <w:tabs>
          <w:tab w:leader="none" w:pos="32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w:t>
      </w:r>
    </w:p>
    <w:p>
      <w:pPr>
        <w:spacing w:after="0" w:line="73" w:lineRule="exact"/>
        <w:rPr>
          <w:rFonts w:ascii="Times New Roman" w:cs="Times New Roman" w:eastAsia="Times New Roman" w:hAnsi="Times New Roman"/>
          <w:sz w:val="20"/>
          <w:szCs w:val="20"/>
          <w:color w:val="auto"/>
        </w:rPr>
      </w:pPr>
    </w:p>
    <w:p>
      <w:pPr>
        <w:ind w:left="340" w:right="60" w:hanging="332"/>
        <w:spacing w:after="0" w:line="261" w:lineRule="auto"/>
        <w:tabs>
          <w:tab w:leader="none" w:pos="32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73"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patient demand for our product candidates and any future product candidates, if approved; and</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enforce intellectual property rights in and to our product candidates or any future product candidates.</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future financial condition</w:t>
      </w:r>
    </w:p>
    <w:p>
      <w:pPr>
        <w:spacing w:after="0" w:line="225"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We will need substantial additional funding. If we are unable to raise capital when needed, we would be compelled to delay, reduce or eliminate our product development programs or commercialization efforts.</w:t>
      </w: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We expect our expenses to increase in parallel with our ongoing activities, particularly as we continue our clinical development activities and seek marketing approval for, our lead product candidate. In addition, if we obtain marketing approval for any of our product candidates, we expect to incur significant commercialization expenses related to product sales, marketing, manufacturing and distribution. Accordingly, we will need to obtain substantial additional funding in connection with our continuing operations. However, we have estimated our current additional funding needs based on assumptions that may prove to be wrong. Additionally, changing circumstances may cause us to consume capital significantly faster than we currently anticipate, and we may need to spend more money than currently expected because of circumstances beyond our control. For instance, the trading prices for our common stock and for other biopharmaceutical companies have been highly volatile. As a result, we may face difficulties raising capital through sales of our equity or debt securities or such sales may be on unfavorable terms. Similarly, adverse market or macroeconomic conditions or market volatility resulting from global economic developments, political unrest, changes in international trade relationships and military conflicts, potential for significant changes in U.S. policies or regulatory environment, high inflation, changing interest rates, international tariffs, future public health epidemics or other factors, could materially and adversely affect our ability to consummate an equity or debt financing on favorable terms, or at all. Sanctions imposed by the U.S. and other countries in response to such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For example, the implementation of the recently enacted BIOSECURE Act has the potential to restrict the ability of U.S. biopharmaceutical companies to purchase services or products from, or otherwise collaborate with, certain Chinese biotechnology companies of concern without losing the ability to contract with, or otherwise receive funding from, the U.S. government. This, in turn, could materially and adversely affect our or our collaborators’ ability to manufacture or supply product candidates or advance our clinical development programs, which could materially and adversely affect our business and future prospects. We continue to assess the impact of the legislation on our contractual relationships. Until such time, if ever, as we can generate substantial product revenue, we expect to finance our operations through a combination of public or private equity offerings, debt financings, governmental funding, collaborations, strategic partnerships and alliances or marketing, distribution or licensing arrangements with third parties. If we are unable to raise capital when needed or on attractive terms, we would be forced to delay, reduce or eliminate our discovery and preclinical development programs or any future commercialization efforts.</w:t>
      </w:r>
    </w:p>
    <w:p>
      <w:pPr>
        <w:spacing w:after="0" w:line="200" w:lineRule="exact"/>
        <w:rPr>
          <w:sz w:val="20"/>
          <w:szCs w:val="20"/>
          <w:color w:val="auto"/>
        </w:rPr>
      </w:pPr>
    </w:p>
    <w:p>
      <w:pPr>
        <w:spacing w:after="0" w:line="2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We had cash, cash equivalents and investments of $128.7 million as of December 31, 2025. We believe that, based upon our current operating plan, our existing capital resources will be sufficient to fund our anticipated operations into the second half of 2028. Our future capital requirements will depend on many factors, including:</w:t>
      </w:r>
    </w:p>
    <w:p>
      <w:pPr>
        <w:spacing w:after="0" w:line="73"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costs of discovery, preclinical development and clinical trials for our product candidates;</w:t>
      </w:r>
    </w:p>
    <w:p>
      <w:pPr>
        <w:spacing w:after="0" w:line="121" w:lineRule="exact"/>
        <w:rPr>
          <w:rFonts w:ascii="Times New Roman" w:cs="Times New Roman" w:eastAsia="Times New Roman" w:hAnsi="Times New Roman"/>
          <w:sz w:val="20"/>
          <w:szCs w:val="20"/>
          <w:color w:val="auto"/>
        </w:rPr>
      </w:pPr>
    </w:p>
    <w:p>
      <w:pPr>
        <w:ind w:left="340" w:right="660" w:hanging="332"/>
        <w:spacing w:after="0" w:line="269" w:lineRule="auto"/>
        <w:tabs>
          <w:tab w:leader="none" w:pos="32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enter into collaboration arrangements with regard to product discovery or acquire or in-license products or technologies;</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collaborations on favorable terms, if at all;</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our product candidates;</w:t>
      </w:r>
    </w:p>
    <w:p>
      <w:pPr>
        <w:spacing w:after="0" w:line="121" w:lineRule="exact"/>
        <w:rPr>
          <w:rFonts w:ascii="Times New Roman" w:cs="Times New Roman" w:eastAsia="Times New Roman" w:hAnsi="Times New Roman"/>
          <w:sz w:val="20"/>
          <w:szCs w:val="20"/>
          <w:color w:val="auto"/>
        </w:rPr>
      </w:pPr>
    </w:p>
    <w:p>
      <w:pPr>
        <w:ind w:left="340" w:right="640" w:hanging="332"/>
        <w:spacing w:after="0" w:line="283" w:lineRule="auto"/>
        <w:tabs>
          <w:tab w:leader="none" w:pos="32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future commercialization activities, including product sales, marketing, manufacturing and distribution, for any of our product candidates for which we receive marketing approval;</w:t>
      </w:r>
    </w:p>
    <w:p>
      <w:pPr>
        <w:spacing w:after="0" w:line="38" w:lineRule="exact"/>
        <w:rPr>
          <w:rFonts w:ascii="Times New Roman" w:cs="Times New Roman" w:eastAsia="Times New Roman" w:hAnsi="Times New Roman"/>
          <w:sz w:val="20"/>
          <w:szCs w:val="20"/>
          <w:color w:val="auto"/>
        </w:rPr>
      </w:pPr>
    </w:p>
    <w:p>
      <w:pPr>
        <w:ind w:left="340" w:right="560" w:hanging="332"/>
        <w:spacing w:after="0" w:line="283" w:lineRule="auto"/>
        <w:tabs>
          <w:tab w:leader="none" w:pos="32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if any, received from commercial sales of our product candidates, should any of our product candidates receive marketing approval; and</w:t>
      </w:r>
    </w:p>
    <w:p>
      <w:pPr>
        <w:spacing w:after="0" w:line="38" w:lineRule="exact"/>
        <w:rPr>
          <w:rFonts w:ascii="Times New Roman" w:cs="Times New Roman" w:eastAsia="Times New Roman" w:hAnsi="Times New Roman"/>
          <w:sz w:val="20"/>
          <w:szCs w:val="20"/>
          <w:color w:val="auto"/>
        </w:rPr>
      </w:pPr>
    </w:p>
    <w:p>
      <w:pPr>
        <w:ind w:left="340" w:right="660" w:hanging="332"/>
        <w:spacing w:after="0" w:line="283" w:lineRule="auto"/>
        <w:tabs>
          <w:tab w:leader="none" w:pos="32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obtaining, maintaining, enforcing and protecting our intellectual property rights and defending intellectual property-related claims.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1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We are very early in our development efforts. Most of our product candidates are still in early clinical development. If we are unable to advance silevertinib or any of our future product candidates through clinical development, obtain regulatory approval and ultimately commercialize silevertinib or any of our future product candidates or experience significant delays in doing so, our business will be materially harmed.</w:t>
      </w:r>
    </w:p>
    <w:p>
      <w:pPr>
        <w:spacing w:after="0" w:line="18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We are very early in our development efforts, and most of our product candidates are still in early clinical or preclinical development. We have invested substantially all of our efforts and financial resources in the identification and preclinical development of our product candidates, including the development of our lead clinical-stage product candidate, silevertinib. Our ability to generate product revenues, which we do not expect will occur for many years, if ever, will depend on the successful development, approval and eventual commercialization of silevertinib or one or more of our future product candidates, which may never occur. We currently generate no revenue from sales of any products, and we may never be able to develop or commercialize a marketable product. The success of our product candidates will depend on several factors, including the following:</w:t>
      </w:r>
    </w:p>
    <w:p>
      <w:pPr>
        <w:spacing w:after="0" w:line="85"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of preclinical studies;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of INDs for our planned clinical trials or future clinical trials;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FDA acceptance of our clinical development strategy;</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enrollment in current and future clinical trials;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results from current or future clinical trials that are supportive of safety and efficacy in the intended patient populations;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regulatory approvals from applicable regulatory authorities;</w:t>
      </w:r>
    </w:p>
    <w:p>
      <w:pPr>
        <w:spacing w:after="0" w:line="107" w:lineRule="exact"/>
        <w:rPr>
          <w:rFonts w:ascii="Times New Roman" w:cs="Times New Roman" w:eastAsia="Times New Roman" w:hAnsi="Times New Roman"/>
          <w:sz w:val="20"/>
          <w:szCs w:val="20"/>
          <w:color w:val="auto"/>
        </w:rPr>
      </w:pPr>
    </w:p>
    <w:p>
      <w:pPr>
        <w:ind w:left="340" w:right="480" w:hanging="332"/>
        <w:spacing w:after="0" w:line="283" w:lineRule="auto"/>
        <w:tabs>
          <w:tab w:leader="none" w:pos="32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commercial manufacturing capabilities or making arrangements with third-party manufacturers for clinical supply and commercial manufacturing;</w:t>
      </w:r>
    </w:p>
    <w:p>
      <w:pPr>
        <w:spacing w:after="0" w:line="3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patent and trade secret protection or regulatory exclusivity for our product candidates;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our product candidates, if and when approved, whether alone or in collaboration with others;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acceptance of the product candidates, if and when approved, by patients, the medical community and third-party payors;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competing with other therapies;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third-party insurance coverage and adequate reimbursement;</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enforcing and defending intellectual property rights and claims; and</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profile of the product candidates following approval.</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200" w:lineRule="exact"/>
        <w:rPr>
          <w:sz w:val="20"/>
          <w:szCs w:val="20"/>
          <w:color w:val="auto"/>
        </w:rPr>
      </w:pPr>
    </w:p>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20"/>
          <w:szCs w:val="20"/>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Our most advanced product candidate, silevertinib, is currently in a Phase 2 clinical trial in patients with EGFRm NSCLC. Whether the results from our current and future clinical trials will suffice to obtain approval will be a review issue and the FDA may not grant approval and may require that we conduct one or more controlled, randomized Phase 3 clinical trials to obtain approval. Global regulatory approvals in precision cancer medicines are limited. It may be difficult for the Company to obtain approvals outside of the U.S.</w:t>
      </w:r>
    </w:p>
    <w:p>
      <w:pPr>
        <w:spacing w:after="0" w:line="195"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87"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the design or implementation of our clinical trials;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our clinical development strategy;</w:t>
      </w:r>
    </w:p>
    <w:p>
      <w:pPr>
        <w:spacing w:after="0" w:line="121" w:lineRule="exact"/>
        <w:rPr>
          <w:rFonts w:ascii="Times New Roman" w:cs="Times New Roman" w:eastAsia="Times New Roman" w:hAnsi="Times New Roman"/>
          <w:sz w:val="20"/>
          <w:szCs w:val="20"/>
          <w:color w:val="auto"/>
        </w:rPr>
      </w:pPr>
    </w:p>
    <w:p>
      <w:pPr>
        <w:ind w:left="340" w:right="40" w:hanging="332"/>
        <w:spacing w:after="0" w:line="269" w:lineRule="auto"/>
        <w:tabs>
          <w:tab w:leader="none" w:pos="32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to the satisfaction of the FDA or comparable foreign regulatory authorities that a drug candidate is safe and effective for its proposed indication;</w:t>
      </w:r>
    </w:p>
    <w:p>
      <w:pPr>
        <w:spacing w:after="0" w:line="64" w:lineRule="exact"/>
        <w:rPr>
          <w:rFonts w:ascii="Times New Roman" w:cs="Times New Roman" w:eastAsia="Times New Roman" w:hAnsi="Times New Roman"/>
          <w:sz w:val="20"/>
          <w:szCs w:val="20"/>
          <w:color w:val="auto"/>
        </w:rPr>
      </w:pPr>
    </w:p>
    <w:p>
      <w:pPr>
        <w:ind w:left="340" w:right="580" w:hanging="332"/>
        <w:spacing w:after="0" w:line="283" w:lineRule="auto"/>
        <w:tabs>
          <w:tab w:leader="none" w:pos="32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or comparable foreign regulatory authorities for approval;</w:t>
      </w:r>
    </w:p>
    <w:p>
      <w:pPr>
        <w:spacing w:after="0" w:line="3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121" w:lineRule="exact"/>
        <w:rPr>
          <w:rFonts w:ascii="Times New Roman" w:cs="Times New Roman" w:eastAsia="Times New Roman" w:hAnsi="Times New Roman"/>
          <w:sz w:val="20"/>
          <w:szCs w:val="20"/>
          <w:color w:val="auto"/>
        </w:rPr>
      </w:pPr>
    </w:p>
    <w:p>
      <w:pPr>
        <w:ind w:left="340" w:right="380" w:hanging="332"/>
        <w:spacing w:after="0" w:line="269" w:lineRule="auto"/>
        <w:tabs>
          <w:tab w:leader="none" w:pos="32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disagree with our interpretation of data from preclinical studies or clinical trials;</w:t>
      </w:r>
    </w:p>
    <w:p>
      <w:pPr>
        <w:spacing w:after="0" w:line="64" w:lineRule="exact"/>
        <w:rPr>
          <w:rFonts w:ascii="Times New Roman" w:cs="Times New Roman" w:eastAsia="Times New Roman" w:hAnsi="Times New Roman"/>
          <w:sz w:val="20"/>
          <w:szCs w:val="20"/>
          <w:color w:val="auto"/>
        </w:rPr>
      </w:pPr>
    </w:p>
    <w:p>
      <w:pPr>
        <w:ind w:left="340" w:right="540" w:hanging="332"/>
        <w:spacing w:after="0" w:line="283" w:lineRule="auto"/>
        <w:tabs>
          <w:tab w:leader="none" w:pos="32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an NDA or other submission or to obtain regulatory approval in the United States or elsewhere;</w:t>
      </w:r>
    </w:p>
    <w:p>
      <w:pPr>
        <w:spacing w:after="0" w:line="38" w:lineRule="exact"/>
        <w:rPr>
          <w:rFonts w:ascii="Times New Roman" w:cs="Times New Roman" w:eastAsia="Times New Roman" w:hAnsi="Times New Roman"/>
          <w:sz w:val="20"/>
          <w:szCs w:val="20"/>
          <w:color w:val="auto"/>
        </w:rPr>
      </w:pPr>
    </w:p>
    <w:p>
      <w:pPr>
        <w:ind w:left="340" w:right="700" w:hanging="332"/>
        <w:spacing w:after="0" w:line="283" w:lineRule="auto"/>
        <w:tabs>
          <w:tab w:leader="none" w:pos="32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or comparable foreign regulatory authorities may fail to approve the manufacturing processes or facilities of third-party manufacturers with which we contract for clinical and commercial supplies; and</w:t>
      </w:r>
    </w:p>
    <w:p>
      <w:pPr>
        <w:spacing w:after="0" w:line="38" w:lineRule="exact"/>
        <w:rPr>
          <w:rFonts w:ascii="Times New Roman" w:cs="Times New Roman" w:eastAsia="Times New Roman" w:hAnsi="Times New Roman"/>
          <w:sz w:val="20"/>
          <w:szCs w:val="20"/>
          <w:color w:val="auto"/>
        </w:rPr>
      </w:pPr>
    </w:p>
    <w:p>
      <w:pPr>
        <w:ind w:left="340" w:right="580" w:hanging="332"/>
        <w:spacing w:after="0" w:line="283" w:lineRule="auto"/>
        <w:tabs>
          <w:tab w:leader="none" w:pos="32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policies or regulations of the FDA or comparable foreign regulatory authorities may significantly change in a manner rendering our clinical data insufficient for approval.</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68" w:lineRule="exact"/>
        <w:rPr>
          <w:sz w:val="20"/>
          <w:szCs w:val="20"/>
          <w:color w:val="auto"/>
        </w:rPr>
      </w:pPr>
    </w:p>
    <w:p>
      <w:pPr>
        <w:ind w:right="2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clinical trials may fail to demonstrate adequately the safety and efficacy of any of our product candidates, which would prevent or delay regulatory approval and commercialization.</w:t>
      </w:r>
    </w:p>
    <w:p>
      <w:pPr>
        <w:spacing w:after="0" w:line="1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To obtain the requisite regulatory approvals to market and sell any of our product candidates, including silevertinib and any other future product candidates, we must demonstrate through extensive preclinical studies and clinical trials that our products are safe and effective in humans. Our product candidates may fail to demonstrate efficacy in humans, and particularly across tumor types. Clinical testing is expensive and can take many years to complete, and its outcome is inherently uncertain. Failure can occur at any time during the clinical trial process and our future clinical trial results may not be successful.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a product candidate in the United States or abroad, we or our potential future collaborators must demonstrate with substantial evidence from adequate and well-controlled clinical trials, and to the satisfaction of the FDA, the EMA or other comparable foreign regulatory authorities, that such product candidates are safe and effective for their intended uses.</w:t>
      </w:r>
    </w:p>
    <w:p>
      <w:pPr>
        <w:spacing w:after="0" w:line="196"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our product candidates, we may be delayed in obtaining marketing approval, if at all.</w:t>
      </w:r>
    </w:p>
    <w:p>
      <w:pPr>
        <w:spacing w:after="0" w:line="19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Even if the trials are successfully completed, clinical data are often susceptible to varying interpretations and analyses, and we cannot guarantee that the FDA, the EMA, or other comparable foreign regulatory authorities will interpret the results as we do, and more trials could be required before we submit our product candidates for approval. We cannot guarantee that the FDA, the EMA or other comparable foreign regulatory authorities will view our product candidates as having sufficient efficacy to support a targeted indication even if positive results are observed in clinical trials. To the extent that the results of the trials are not satisfactory to the FDA, the EMA or other comparable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 Additionally, any safety or efficacy concerns observed in any tumor-specific subgroup of our clinical trials could limit the prospects for regulatory approval of our product candidates for a targeted indication, which could have a material adverse effect on our business, financial condition and results of operations.</w:t>
      </w:r>
    </w:p>
    <w:p>
      <w:pPr>
        <w:spacing w:after="0" w:line="19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seek orphan drug status for silevertinib and some of our other future product candidates, but we may be unable to obtain such designations or to maintain the benefits associated with orphan drug status, including market exclusivity, which may cause our revenue, if any, to be reduced.</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9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9"/>
          <w:szCs w:val="19"/>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an NDA, to market the same biologic for the same approved use or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drugs that have a different active ingredient for use in treating the same approved use or indication. Furthermore, the FDA can waive orphan exclusivity if we are unable to manufacture sufficient supply of our product.</w:t>
      </w:r>
    </w:p>
    <w:p>
      <w:pPr>
        <w:spacing w:after="0" w:line="18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We may seek orphan drug designation for silevertinib and some or all of our other future product candidates in additional orphan indications in which there is a medically plausible basis for the use of these products.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 In addition, although we intend to seek orphan drug designation for other product candidates, we may never receive such designations. For example, the FDA has expressed concerns regarding the regulatory considerations for orphan drug designation as applied to tissue agnostic therapies, and the FDA may interpret the FD&amp;C Act and regulations promulgated thereunder in a way that limits or blocks our ability to obtain orphan drug designation or orphan drug exclusivity, if our product candidates are approved, for our targeted indications.</w:t>
      </w:r>
    </w:p>
    <w:p>
      <w:pPr>
        <w:spacing w:after="0" w:line="193"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In addition,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7" w:lineRule="exact"/>
        <w:rPr>
          <w:sz w:val="20"/>
          <w:szCs w:val="20"/>
          <w:color w:val="auto"/>
        </w:rPr>
      </w:pPr>
    </w:p>
    <w:p>
      <w:pPr>
        <w:ind w:right="4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spacing w:after="0" w:line="16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We may seek Breakthrough Therapy designation for silevertinib and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other expedited approval programs, including accelerated approval.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candidate products considered for approval under non-expedited FDA review procedures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silevertinib and some or all of our future product candidates for the treatment of various cancers, there can be no assurance that we will receive breakthrough therapy designation.</w:t>
      </w:r>
    </w:p>
    <w:p>
      <w:pPr>
        <w:spacing w:after="0" w:line="191"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 Fast Track designation by the FDA may not lead to a faster development or regulatory review or approval process, and does not increase the likelihood that our product candidates will receive marketing approval.</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If a drug is intended for the treatment of a serious or life-threatening condition and the drug demonstrates the potential to address unmet medical needs for this condition, the drug sponsor may apply for FDA Fast Track designation for a particular indication. Silevertinib received Fast Track Designation from the FDA for the treatment of patients with metastatic EGFRm C797S-positive NSCLC, without T790M mutation, whose disease has progressed on/after treatment with a third-generation EGFR TKI. We may seek Fast Track designation for silevertinib for additional indications or certain of our future product candidates, but there is no assurance that the FDA will grant this status to any of our other proposed product candidates. Marketing applications filed by sponsors of products in Fast Track development may qualify for priority review under the policies and procedures offered by the FDA, but the Fast Track 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where we have received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seek approval of our product candidates, where applicable, under the FDA’s accelerated approval pathway. This pathway may not lead to a faster development, regulatory review or approval process and it does not increase the likelihood that our product candidates will receive marketing approval.</w:t>
      </w:r>
    </w:p>
    <w:p>
      <w:pPr>
        <w:spacing w:after="0" w:line="17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may seek approval of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As a condition of approval, the FDA may require that a sponsor of a drug receiving accelerated approval perform adequate and well-controlled post-marketing clinical trials. These confirmatory trials must be completed with due diligence. Under FDORA, the FDA is permitted to require, as appropriate, that a post-approval confirmatory study or studies be underway prior to approval or within a specified time period after the date of accelerated approval was granted.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receive accelerated approval, we may not experience a faster development or regulatory review or approval process, and receiving accelerated approval does not provide assurance of ultimate full FDA approval.</w:t>
      </w:r>
    </w:p>
    <w:p>
      <w:pPr>
        <w:spacing w:after="0" w:line="192"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6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ongoing regulatory obligations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applicable cGMP, GLP and GCP requirements, for any clinical trials that we conduct post-approval.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85" w:lineRule="exact"/>
        <w:rPr>
          <w:sz w:val="20"/>
          <w:szCs w:val="20"/>
          <w:color w:val="auto"/>
        </w:rPr>
      </w:pPr>
    </w:p>
    <w:p>
      <w:pPr>
        <w:ind w:left="340" w:right="440" w:hanging="332"/>
        <w:spacing w:after="0" w:line="269" w:lineRule="auto"/>
        <w:tabs>
          <w:tab w:leader="none" w:pos="32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our product candidates, withdrawal of the product from the market or voluntary or mandatory product recalls;</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manufacturing delays and supply disruptions where regulatory inspections identify observations of noncompliance requiring remediation;</w:t>
      </w:r>
    </w:p>
    <w:p>
      <w:pPr>
        <w:spacing w:after="0" w:line="119" w:lineRule="exact"/>
        <w:rPr>
          <w:rFonts w:ascii="Times New Roman" w:cs="Times New Roman" w:eastAsia="Times New Roman" w:hAnsi="Times New Roman"/>
          <w:sz w:val="19"/>
          <w:szCs w:val="19"/>
          <w:color w:val="auto"/>
        </w:rPr>
      </w:pPr>
    </w:p>
    <w:p>
      <w:pPr>
        <w:ind w:left="340" w:right="220" w:hanging="332"/>
        <w:spacing w:after="0" w:line="283" w:lineRule="auto"/>
        <w:tabs>
          <w:tab w:leader="none" w:pos="32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revisions to the labeling, including limitation on approved uses or the addition of additional warnings, contraindications or other safety information, including boxed warnings;</w:t>
      </w:r>
    </w:p>
    <w:p>
      <w:pPr>
        <w:spacing w:after="0" w:line="3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a REMS, which may include distribution or use restrictions;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to conduct additional post-market clinical trials to assess the safety of the product;</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clinical trials;</w:t>
      </w:r>
    </w:p>
    <w:p>
      <w:pPr>
        <w:spacing w:after="0" w:line="107" w:lineRule="exact"/>
        <w:rPr>
          <w:rFonts w:ascii="Times New Roman" w:cs="Times New Roman" w:eastAsia="Times New Roman" w:hAnsi="Times New Roman"/>
          <w:sz w:val="20"/>
          <w:szCs w:val="20"/>
          <w:color w:val="auto"/>
        </w:rPr>
      </w:pPr>
    </w:p>
    <w:p>
      <w:pPr>
        <w:ind w:left="340" w:right="220" w:hanging="332"/>
        <w:spacing w:after="0" w:line="283" w:lineRule="auto"/>
        <w:tabs>
          <w:tab w:leader="none" w:pos="32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by the FDA to approve pending applications or supplements to approved applications filed by us or suspension or revocation of approvals;</w:t>
      </w:r>
    </w:p>
    <w:p>
      <w:pPr>
        <w:spacing w:after="0" w:line="3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seizure or detention, or refusal to permit the import or export of our product candidates; and</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2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9"/>
          <w:szCs w:val="19"/>
          <w:color w:val="auto"/>
        </w:rPr>
        <w:t>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The FDA’s and other regulatory authorities’ policies may change and additional government regulations may be enacted that could prevent, limit or delay regulatory approval of our product candidates.</w:t>
      </w:r>
    </w:p>
    <w:p>
      <w:pPr>
        <w:spacing w:after="0" w:line="17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The U.S. Supreme Court’s June 2024 decision in </w:t>
      </w:r>
      <w:r>
        <w:rPr>
          <w:rFonts w:ascii="Times New Roman" w:cs="Times New Roman" w:eastAsia="Times New Roman" w:hAnsi="Times New Roman"/>
          <w:sz w:val="20"/>
          <w:szCs w:val="20"/>
          <w:i w:val="1"/>
          <w:iCs w:val="1"/>
          <w:color w:val="auto"/>
        </w:rPr>
        <w:t>Loper Bright Enterprises v. Raimondo</w:t>
      </w:r>
      <w:r>
        <w:rPr>
          <w:rFonts w:ascii="Times New Roman" w:cs="Times New Roman" w:eastAsia="Times New Roman" w:hAnsi="Times New Roman"/>
          <w:sz w:val="20"/>
          <w:szCs w:val="20"/>
          <w:color w:val="auto"/>
        </w:rPr>
        <w:t xml:space="preserve"> overturned the longstanding </w:t>
      </w:r>
      <w:r>
        <w:rPr>
          <w:rFonts w:ascii="Times New Roman" w:cs="Times New Roman" w:eastAsia="Times New Roman" w:hAnsi="Times New Roman"/>
          <w:sz w:val="20"/>
          <w:szCs w:val="20"/>
          <w:i w:val="1"/>
          <w:iCs w:val="1"/>
          <w:color w:val="auto"/>
        </w:rPr>
        <w:t>Chevron</w:t>
      </w:r>
      <w:r>
        <w:rPr>
          <w:rFonts w:ascii="Times New Roman" w:cs="Times New Roman" w:eastAsia="Times New Roman" w:hAnsi="Times New Roman"/>
          <w:sz w:val="20"/>
          <w:szCs w:val="20"/>
          <w:color w:val="auto"/>
        </w:rPr>
        <w:t xml:space="preserve"> doctrine, under which courts were required to give deference to regulatory agencies’ reasonable interpretations of ambiguous federal statutes. The </w:t>
      </w:r>
      <w:r>
        <w:rPr>
          <w:rFonts w:ascii="Times New Roman" w:cs="Times New Roman" w:eastAsia="Times New Roman" w:hAnsi="Times New Roman"/>
          <w:sz w:val="20"/>
          <w:szCs w:val="20"/>
          <w:i w:val="1"/>
          <w:iCs w:val="1"/>
          <w:color w:val="auto"/>
        </w:rPr>
        <w:t>Loper</w:t>
      </w:r>
      <w:r>
        <w:rPr>
          <w:rFonts w:ascii="Times New Roman" w:cs="Times New Roman" w:eastAsia="Times New Roman" w:hAnsi="Times New Roman"/>
          <w:sz w:val="20"/>
          <w:szCs w:val="20"/>
          <w:color w:val="auto"/>
        </w:rPr>
        <w:t xml:space="preserve"> decision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20"/>
          <w:szCs w:val="20"/>
          <w:i w:val="1"/>
          <w:iCs w:val="1"/>
          <w:color w:val="auto"/>
        </w:rPr>
        <w:t>Loper</w:t>
      </w:r>
      <w:r>
        <w:rPr>
          <w:rFonts w:ascii="Times New Roman" w:cs="Times New Roman" w:eastAsia="Times New Roman" w:hAnsi="Times New Roman"/>
          <w:sz w:val="20"/>
          <w:szCs w:val="20"/>
          <w:color w:val="auto"/>
        </w:rPr>
        <w:t xml:space="preserve"> decision may result in increased regulatory uncertainty, inconsistent judicial interpretations, and other impacts to the agency rulemaking process, any of which could adversely impact our business and operations.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w:t>
      </w:r>
    </w:p>
    <w:p>
      <w:pPr>
        <w:spacing w:after="0" w:line="23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In the current administration, the FDA has increased its enforcement scrutiny over prescription drug advertising, particularly direct-to-consumer product promotion and advertising.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 If we cannot successfully manage the promotion of our product candidates, if approved, we could become subject to significant liability, which would materially adversely affect our business and financial condition.</w:t>
      </w:r>
    </w:p>
    <w:p>
      <w:pPr>
        <w:spacing w:after="0" w:line="19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1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 For more information, please see “Business—Government Regulation—Insurance Coverage and Reimbursement.”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3" w:lineRule="exact"/>
        <w:rPr>
          <w:sz w:val="20"/>
          <w:szCs w:val="20"/>
          <w:color w:val="auto"/>
        </w:rPr>
      </w:pPr>
    </w:p>
    <w:p>
      <w:pPr>
        <w:ind w:right="960"/>
        <w:spacing w:after="0" w:line="283" w:lineRule="auto"/>
        <w:rPr>
          <w:sz w:val="20"/>
          <w:szCs w:val="20"/>
          <w:color w:val="auto"/>
        </w:rPr>
      </w:pPr>
      <w:r>
        <w:rPr>
          <w:rFonts w:ascii="Times New Roman" w:cs="Times New Roman" w:eastAsia="Times New Roman" w:hAnsi="Times New Roman"/>
          <w:sz w:val="20"/>
          <w:szCs w:val="20"/>
          <w:color w:val="auto"/>
        </w:rPr>
        <w:t>Reimbursement by a third-party payor may depend upon a number of factors, including, but not limited to, the third-party payor’s determination that use of a product is:</w:t>
      </w:r>
    </w:p>
    <w:p>
      <w:pPr>
        <w:spacing w:after="0" w:line="52"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 effective and medically necessary;</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appropriate for the specific patient;</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cost-effective; and</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revenues and profits.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20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93"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0"/>
          <w:szCs w:val="20"/>
          <w:color w:val="auto"/>
        </w:rPr>
        <w:t>Medicare reimbursement methodologies, whether under Part A, Part B, or clinical laboratory fee schedule may be amended from time to time, and we cannot predict what effect any change to these methodologies would have on any product candidate for which we receive approval.</w:t>
      </w:r>
    </w:p>
    <w:p>
      <w:pPr>
        <w:spacing w:after="0" w:line="177"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legislative measures aimed at reducing healthcare costs may have a material adverse effect on our business and results of operations.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please see “Business—Government Regulation—Current and Future Healthcare Reform Legislation.”</w:t>
      </w:r>
    </w:p>
    <w:p>
      <w:pPr>
        <w:spacing w:after="0" w:line="1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In the United States, there have been and continue to be a number of legislative initiatives to contain healthcare costs. For example, on July 9, 2021, President Biden issued an executive order directing the FDA to, among other things, continue to clarify and improve the approval framework for generic drugs and identify and address any efforts to impede generic drug competition.</w:t>
      </w:r>
    </w:p>
    <w:p>
      <w:pPr>
        <w:spacing w:after="0" w:line="1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Further, in March 2010,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20"/>
          <w:szCs w:val="20"/>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0"/>
          <w:szCs w:val="20"/>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2"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5" w:lineRule="exact"/>
        <w:rPr>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demand for our product candidates, if we obtain regulatory approval;</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set a price that we believe is fair for our products;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coverage and reimbursement approval for a product;</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generate revenue and achieve or maintain profitability;</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availability of capital.</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Any reduction in reimbursement from Medicare or other government programs may result in a similar reduction in payments from private payors, which may adversely affect our future profitability.</w:t>
      </w:r>
    </w:p>
    <w:p>
      <w:pPr>
        <w:spacing w:after="0" w:line="142"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Disruptions at the FDA, the SEC and other U.S. government agencies or comparable foreign regulatory authorities caused by reductions in staffing or funding shortages could hinder their ability to hire and retain key leadership and other personnel, prevent new products and services from being developed or commercialized in a timely manner or at all, or otherwise prevent those agencies from performing normal business functions on which the operation of our business may rely, which could negatively impact our business.</w:t>
      </w:r>
    </w:p>
    <w:p>
      <w:pPr>
        <w:spacing w:after="0" w:line="1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Federal agencies in the U.S., including the FDA, the SEC and other comparable regulatory authorities, operate pursuant to annual appropriations and other political and budgetary processes, and may from time to time be subject to continuing resolutions, funding lapses, or other fiscal constraints. The FDA is currently funded through September 30, 2026. Without appropriation of sufficient funding to federal agencies, our business operations related to our product development activities for the U.S. market could be impacted. The ability of the FDA and other comparable regulatory authorities to review and approve new products can be affected by a variety of factors, including government budget and funding levels (including due to the government shutdown), the FDA’s or other comparable regulatory authorities’ ability to hire and retain key personnel and accept the payment of user fees, availability of personnel and other resources, and statutory, regulatory and policy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of these factors.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SEC and U.S. Patent and Trademark Office (USPTO). Any such reduction in personnel may result in longer review times by the FDA and other agencies.</w:t>
      </w:r>
    </w:p>
    <w:p>
      <w:pPr>
        <w:spacing w:after="0" w:line="18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0"/>
          <w:szCs w:val="20"/>
          <w:color w:val="auto"/>
        </w:rPr>
        <w:t>Disruptions and personnel turnover, as a result of leadership changes, staff reductions or otherwise, at the FDA, the SEC, the USPTO and other government agencies or comparable foreign regulatory authorities may also slow the time necessary for new drugs to be reviewed and/or approved by necessary government agencies, which would adversely affect our business.</w:t>
      </w:r>
    </w:p>
    <w:p>
      <w:pPr>
        <w:spacing w:after="0" w:line="16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Changes and cuts in FDA staffing have been reported by some in the pharmaceutical industry as creating instances of delays in the FDA’s responsiveness or in its ability to review IND submissions or applications, issue regulations or guidance, or implement or enforce regulatory requirements in a timely fashion, or at all. There is also substantial uncertainty as to the extent and manner in which regulatory reform measures being implemented by the current U.S. administration, and other political developments, such as government shutdowns or work stoppages, would impact other U.S. regulatory agencies, such as the FDA, SEC and USPTO, on which our operations rely. For example, over the last several years, including from October 1, 2025 to November 12, 2025, the U.S. government has shut down several times and certain regulatory agencies, such as the FDA and the SEC, have had to furlough critical employees and stop critical activities. If a prolonged government shutdown occurs again in the future, or if funding shortages or staffing limitations hinder or prevent the FDA, the SEC or other regulatory authorities from conducting their regulatory inspections, reviews or other regulatory activities, including formal or informal interactions with product developers, it could significantly impact the ability of the FDA or other such regulatory authorities to timely review and process any submissions we have filed or may file or cause other regulatory delays, which could have a material adverse effect on our business. Additionally, disruptions at the National Institutes of Health or changes to its budget may negatively impact our operations and ongoing clinical trials. Further, in our operations as a public company,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4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are exposed to the risk of employee fraud or other illegal activity by our employees, independent contractors, consultants, commercial partners and vendors. Misconduct by these parties could include intentional, reckless and/or negligent conduct that fails to: comply with the regulations of the FDA and other similar foreign regulatory authorities, provide true, complete and accurate information to the FDA and other similar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and regulations will increase significantly, and our costs associated with compliance with such laws and regulations are also likely to increase.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please see “Business—Government Regulation—Other Healthcare and Privacy Laws.”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have adopted a code of business conduct and ethics, but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7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and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diminished profits and future earnings, and we may be required to curtail or restructure our operations, any of which could adversely affect our ability to operate our business and our results of operations.</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provision of benefits or advantages to physicians to induce or encourage the prescription, recommendation, endorsement, purchase, supply, order or use of medicinal products is also prohibited in the EU. The provision of benefits or advantages to reward improper performance generally is typically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 Payments made to physicians in certain EU Member States must be publicly disclosed.</w:t>
      </w:r>
    </w:p>
    <w:p>
      <w:pPr>
        <w:spacing w:after="0" w:line="176"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Moreover, agreements with physicians often must be the subject of prior notification and approval by the physician’s employer, his or her competent professional organization and/or the regulatory authorities of the individual EU Member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These requirements are provided in the national laws, industry codes or professional codes of conduct, applicable in the EU Member States.</w:t>
      </w:r>
    </w:p>
    <w:p>
      <w:pPr>
        <w:spacing w:after="0" w:line="216" w:lineRule="exact"/>
        <w:rPr>
          <w:sz w:val="20"/>
          <w:szCs w:val="20"/>
          <w:color w:val="auto"/>
        </w:rPr>
      </w:pPr>
    </w:p>
    <w:p>
      <w:pPr>
        <w:ind w:right="1120"/>
        <w:spacing w:after="0" w:line="283" w:lineRule="auto"/>
        <w:rPr>
          <w:sz w:val="20"/>
          <w:szCs w:val="20"/>
          <w:color w:val="auto"/>
        </w:rPr>
      </w:pPr>
      <w:r>
        <w:rPr>
          <w:rFonts w:ascii="Times New Roman" w:cs="Times New Roman" w:eastAsia="Times New Roman" w:hAnsi="Times New Roman"/>
          <w:sz w:val="20"/>
          <w:szCs w:val="20"/>
          <w:color w:val="auto"/>
        </w:rPr>
        <w:t>Failure to comply with these requirements could result in reputational risk, public reprimands, administrative penalties, fines or imprisonment.</w:t>
      </w:r>
    </w:p>
    <w:p>
      <w:pPr>
        <w:spacing w:after="0" w:line="142"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protecting our intellectual property</w:t>
      </w:r>
    </w:p>
    <w:p>
      <w:pPr>
        <w:spacing w:after="0" w:line="21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or any of our licensees are unable to obtain and maintain patent and other intellectual property protection for silevertinib, BDTX-4933, BDTX-4876, and our other product candidates and technology, or any other product candidates or technology we may develop, or if the scope of intellectual property protection obtained is not sufficiently broad, our competitors could develop and commercialize products and technology similar or identical to ours, and our ability to commercialize any of our future product candidates or technology may be adversely affected.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Our success depends in large part on the ability to obtain and maintain patent and other intellectual property protection in the United States and other countries with respect to our product candidates, including silevertinib, BDTX-4933, BDTX-4876, their respective components, formulations, combination therapies, methods used to manufacture them and methods of treatment and development that are important to our business, as well as successfully defending these patents against third-party challenges. If we or our licensees do not adequately protect our intellectual property rights, competitors may be able to erode or negate any competitive advantage we may have, which could harm our business and ability to achieve profitability.</w:t>
      </w:r>
    </w:p>
    <w:p>
      <w:pPr>
        <w:spacing w:after="0" w:line="19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We intend to rely upon a combination of patent applications, confidentiality agreements, trade secret protection and license agreements to protect the intellectual property related to our product candidates and technologies. Any disclosure to or misappropriation by third parties of our confidential proprietary information could enable competitors to quickly duplicate or surpass our technological achievements, thus eroding our competitive position in our market.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establish our patent position.</w:t>
      </w:r>
    </w:p>
    <w:p>
      <w:pPr>
        <w:spacing w:after="0" w:line="17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To protect our proprietary position, we plan to file patent applications in the United States and abroad relating to our product candidates that are important to our business; we may in the future also license or purchase patents or patent applications owned by others. Our ability to stop unauthorized third parties from making, using, selling, offering to sell or importing our product candidates is dependent upon the extent to which we have rights under valid and enforceable patents or trade secrets that cover these activities. If we or any licensees are unable to secure or maintain patent protection with respect to silevertinib, BDTX-4933, BDTX-4876, or any other proprietary products and technology we develop, our business, financial condition, results of operations, and prospects would be materially harmed.</w:t>
      </w:r>
    </w:p>
    <w:p>
      <w:pPr>
        <w:spacing w:after="0" w:line="19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U.S. provisional patent applications, the U.S. patent applications, or the PCT patent applications, and the foreign patent applications currently owned by us may never result in an issued patent. The U.S. provisional patent applications may not be eligible to become an issued patent until, among other things, we convert the U.S. provisional patent applications to one or more non-provisional patent applications within 12 months. If we or any licensees do not timely convert the U.S. provisional patent applications to any non-provisional application, we may lose our priority date with respect to our U.S. provisional patent applications and any patent protection on the inventions disclosed in such U.S. provisional patent applications. The pending PCT patent application is not eligible to become an issued patent until, among other things, we file a national stage patent application within 30 months in the countries in which we seek patent protection. If we or any licensees do not timely file any national stage patent applications, we may lose our priority date with respect to our PCT patent application and any patent protection on the inventions disclosed in such PCT patent application. While we intend to timely convert the U.S. provisional patent applications to one or more non-provisional patent applications and to timely file a national stage patent application relating to our PCT patent application, we cannot predict whether any of our future patent applications for silevertinib, BDTX-4933, BDTX-4876, or any of our other product candidates will result in the issuance of patents that effectively protect silevertinib, BDTX-4933, BDTX-4876, or our other product candidates. If we or any licensees do not successfully obtain patent protection, or, even if we or any licensees do obtain patent protection, if the scope of the patent protection we or our licensees obtain with respect to silevertinib, BDTX-4933, BDTX-4876, or our other product candidates and technology is not sufficiently broad, we will be unable to prevent others from using our technology or from developing or commercializing technology and products similar or identical to ours or other competing products and technologies. Any failure to obtain or maintain patent protection with respect to silevertinib, BDTX-4933, BDTX-4876, and our other product candidates would have a material adverse effect on our business, financial condition, results of operations and prospects.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 degree of patent protection we require to successfully compete in the marketplace may be unavailable or severely limited in some cases and may not adequately protect our rights or permit us to gain or keep any competitive advantage. We cannot provide any assurances that any patents we may own or in-license in the future will have, or that any of our patent applications that mature into issued patents will include, claims with a scope sufficient to protect our current and future product candidates or otherwise provide any competitive advantage. In addition, to the extent that we license intellectual property in the future, we cannot assure you that those licenses will remain in force. In addition, the laws of foreign countries may not protect our rights to the same extent as the laws of the United States. Furthermore, patents have a limited lifespan, and the term of any patents we may own or in-license in the future may be inadequate to protect our competitive position of our product candidates or technology for an adequate amount of time. In the United States, the natural expiration of a patent is generally 20 years after the non-provisional application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20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Even if they are unchallenged, our patent applications, if issued, and any patents we may own or in-license in the future, may not provide us with any meaningful protection or prevent competitors from designing around our patent claims to circumvent any patents we may own or in-license in the future by developing similar or alternative technologies or therapeutics in a non-infringing manner. For example, a third-party may develop a competitive therapy that provides benefits similar to one or more of our product candidates but that uses a formulation and/or a device that falls outside the scope of any patent protection we may have in the future. If the patent protection provided by our patent applications or any patents we may pursue with respect to our product candidates is not sufficiently broad to impede such competition, our ability to successfully commercialize our product candidates could be negatively affected, which would harm our business. Although we currently own our patent applications, similar risks would apply to any patents or patent applications that we may own or in-license in the future.</w:t>
      </w:r>
    </w:p>
    <w:p>
      <w:pPr>
        <w:spacing w:after="0" w:line="19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Patent positions of life sciences companies can be uncertain and involve complex factual and legal questions. Changes in either the patent laws or their interpretation in any jurisdiction that we seek patent protection may diminish our ability to protect our inventions, maintain and enforce our intellectual property rights; and, more generally, may affect the value of our intellectual property, including the narrowing of the scope of our patent applications or any patents we may own or in-license in the future.</w:t>
      </w:r>
    </w:p>
    <w:p>
      <w:pPr>
        <w:spacing w:after="0" w:line="17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The patent prosecution process is complex, expensive, time-consuming and inconsistent across jurisdictions. Patent license negotiations also can be complex and protracted, with uncertain results. We or any licensees may not be able to file, prosecute, maintain, enforce, or license all necessary or desirable patent rights at a commercially reasonable cost or in a timely manner. In addition, we or any licensees may not pursue or obtain patent protection in all relevant markets. It is possible that we or any licensees will fail to identify important patentable aspects of our research and development efforts in time to obtain appropriate or any patent protection. While we enter into non-disclosure and confidentiality agreements with parties who have access to confidential or patentable aspects of our research and development efforts, including for example, our employees, corporate collaborators, external academic scientific collaborators, CROs, contract manufacturers, consultants, advisors and other third parties, any of these parties may breach the agreements and disclose results before a patent application is filed, thereby endangering our ability to seek patent protection. In addition, publications of discoveries in the scientific and scholarly literature often lag behind the actual discoveries, and patent applications in the United States and other jurisdictions are typically not published until 18 months after filing, or in some cases not at all. Consequently, we cannot be certain that we were the first to file for patent protection on the inventions claimed in our patent applications.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It is possible that defects of form in the preparation or filing of our patent applications, or any patents we may own or in-license in the future, may exist or may arise in the future, for example with respect to proper priority claims, inventorship, claim scope, or requests for patent term adjustments. If we or our partners, collaborators, licensees or licensors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 applications or patents we may own or in-license in the future,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8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Additionally, we cannot be certain that the claims in our patent applications covering composition of matter of our product candidates or technology will be considered patentable by the USPTO, or by patent offices in foreign countries, or that the claims in any issued patents we may own or in-license in the future will be considered patentable by courts in the United States or foreign countries.</w:t>
      </w:r>
    </w:p>
    <w:p>
      <w:pPr>
        <w:spacing w:after="0" w:line="18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Method of use patents protect the use of a product for the specified method. These types of patents do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induce or contribute to the infringement of method of use patents, the practice is common and such infringement is difficult to prevent or prosecute.</w:t>
      </w:r>
    </w:p>
    <w:p>
      <w:pPr>
        <w:spacing w:after="0" w:line="192"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any rights we may have from our patent applications are highly uncertain. Our patent applications may not result in patents being issued in the United States or in other jurisdictions which protect our technology or products or which effectively prevent others from commercializing competitive technologies and products. Moreover, our ability to obtain and maintain valid and enforceable patents depends on whether the differences between our inventions and the prior art, including our own previously filed patent applications and scientific publications, allow our inventions to be patentable over the prior art. Even if our patent applications issue as patents, third parties could challenge the validity of such patents based on such scientific publications and we could potentially lose valuable patent rights. Further, the scope of the invention claimed in a patent application can be significantly reduced before the patent is issued, and this scope can be reinterpreted after issuance. Even where patent applications we currently own or that we may license in the future issue as patents, they may not issue in a form that will provide us with any meaningful protection, prevent competitors or other third parties from competing with us, or otherwise provide us with a competitive advantage. Any patents that eventually issue may be challenged, narrowed or invalidated by third parties. Consequently, we do not know whether any of our product candidates will be protectable or remain protected by valid and enforceable patent rights. Our competitors or other third parties may be able to evade any rights we may have from our patent applications by developing new compounds or alternative technologies or products in a non-infringing manner.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issuance or grant of a patent is not irrefutable as to its inventorship, scope, validity or enforceability, and any patents we may own or in-license in the future may be challenged in the courts or patent offices in the United States and abroad. Such challenges may result in the patent claims of any patents we may own or in-license being narrowed, invalidated or held unenforceable, which could limit our ability to stop or prevent us from stopping others from using or commercializing similar or identical technology and products, or limit the duration of the patent protection of our technology and products.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We may in the future, become subject to a third-party pre-issuance submission of prior art or opposition, derivation, revocation, re-examination, post-grant and inter partes review, or interference proceeding and other similar proceedings challenging any rights we may have from our patent applications or the patent rights of others in the U.S. Patent and Trademark Office, or USPTO, or other foreign patent office, or in declaratory judgment actions or counterclaims. An unfavorable determination in any such submission, proceeding or litigation could reduce the scope of, or invalidate, any rights we may have from our patent applications, allow third parties to commercialize our technology or products and compete directly with us, without payment to us, or extinguish our ability to manufacture or commercialize products without infringing third-party patent rights.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In addition,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6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Moreover, some of our intellectual property, including any patents we may own or in-license in the future, may be co-owned with third parties. If we are unable to obtain an exclusive license to any such third-party co-owners’ interest in such intellectual property, including patents or patent applications, such co-owners may be able to license their rights to other third parties, including our competitors, and our competitors could market competing products and technology. In addition, we or any licensees or future licensors may need the cooperation of any such co-owners of our owned and in-licensed intellectual property, including patents and patent applications, in order to enforce such intellectual property against third parties, and such cooperation may not be provided to us or any licensees or our future licensors. Any of the foregoing could have a material adverse effect on our competitive position, business, financial conditions, results of operations and prospects.</w:t>
      </w:r>
    </w:p>
    <w:p>
      <w:pPr>
        <w:spacing w:after="0" w:line="162"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We are generally also subject to all of the same risks with respect to protection of intellectual property that we license, as we are for intellectual property that we own, which are described below. If we or any licensees or our future licensors fail to adequately protect this intellectual property, our ability to commercialize products could suffer.</w:t>
      </w:r>
    </w:p>
    <w:p>
      <w:pPr>
        <w:spacing w:after="0" w:line="177"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any future agreements under which we may license intellectual property rights from third parties or otherwise experience disruptions to our business relationships with our future licensors, we could lose license rights that are important to our business.</w:t>
      </w:r>
    </w:p>
    <w:p>
      <w:pPr>
        <w:spacing w:after="0" w:line="17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In the future, we may be party to license or collaboration agreements with third parties to advance our research or allow commercialization of product candidates. Such future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future licensors might conclude that we have materially breached our future license agreements and might therefore terminate the license agreements, thereby removing or limiting our ability to develop and commercialize products and technologies covered by these license agreements.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Any termination of these licenses, or if the underlying patents fail to provide the intended exclusivity, could result in the loss of significant rights and could harm our ability to commercialize our product candidates, and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Disputes may also arise between us and our future licensors regarding intellectual property subject to a license agreement, including:</w:t>
      </w:r>
    </w:p>
    <w:p>
      <w:pPr>
        <w:spacing w:after="0" w:line="121" w:lineRule="exact"/>
        <w:rPr>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07" w:lineRule="exact"/>
        <w:rPr>
          <w:rFonts w:ascii="Times New Roman" w:cs="Times New Roman" w:eastAsia="Times New Roman" w:hAnsi="Times New Roman"/>
          <w:sz w:val="20"/>
          <w:szCs w:val="20"/>
          <w:color w:val="auto"/>
        </w:rPr>
      </w:pPr>
    </w:p>
    <w:p>
      <w:pPr>
        <w:ind w:left="660" w:right="400" w:hanging="328"/>
        <w:spacing w:after="0" w:line="283"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the extent to which our technology and processes infringe, misappropriate or otherwise violate intellectual property rights of the licensor that is not subject to the licensing agreement;</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right to sublicense patent and other rights to third parties under collaborative development relationships;</w:t>
      </w:r>
    </w:p>
    <w:p>
      <w:pPr>
        <w:spacing w:after="0" w:line="121"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diligence obligations with respect to the use of the licensed technology in relation to our development and commercialization of our product candidates, and what activities satisfy those diligence obligations;</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priority of invention of any patented technology; and</w:t>
      </w:r>
    </w:p>
    <w:p>
      <w:pPr>
        <w:spacing w:after="0" w:line="121"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inventions and know-how resulting from the joint creation or use of intellectual property by our future licensors and us and our partners.</w:t>
      </w:r>
    </w:p>
    <w:p>
      <w:pPr>
        <w:spacing w:after="0" w:line="17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In addition, the agreements under which we may license intellectual property or technology from third parties in the future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in the future prevent or impair our ability to maintain future licensing arrangements on acceptable terms, we may be unable to successfully develop and commercialize the affected product candidates, which could have a material adverse effect on our business, financial conditions,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would be harmed.</w:t>
      </w:r>
    </w:p>
    <w:p>
      <w:pPr>
        <w:spacing w:after="0" w:line="22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In addition to the protection afforded by patents we may own or in-license in the future, we seek to rely on trade secret protection, confidentiality agreements, and license agreements to protect proprietary know-how that is not patentable, processes for which patents are difficult to enforce and any other elements of our product discovery and development processes, including our MAP drug discovery engine that involve proprietary know-how, information, or technology that is not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6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Enforcing a claim that a party illegally disclosed or misappropriated a trade secret is difficult, expensive and time-consuming, and the outcome is unpredictable. If we choose to go to court to stop a third-party from using any of our trade secrets, we may incur substantial costs. These lawsuits may consume our time and other resources even if we are successful. For example, significant elements of our MAP drug discovery engine, including aspects of oncogenicity computational algorithms, in vivo experiments to validate mechanisms and pharmacology, drug design, and related processes, are based on unpatented trade secrets that are not publicly disclosed.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third-party, we would have no right to prevent them from using that technology or information to compete with us.</w:t>
      </w:r>
    </w:p>
    <w:p>
      <w:pPr>
        <w:spacing w:after="0" w:line="18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6" w:lineRule="exact"/>
        <w:rPr>
          <w:sz w:val="20"/>
          <w:szCs w:val="20"/>
          <w:color w:val="auto"/>
        </w:rPr>
      </w:pPr>
    </w:p>
    <w:p>
      <w:pPr>
        <w:ind w:right="6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not be successful in obtaining or maintaining necessary rights to product components and processes for our development pipeline through acquisitions and in-licenses.</w:t>
      </w:r>
    </w:p>
    <w:p>
      <w:pPr>
        <w:spacing w:after="0" w:line="142"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Because developing our product candidates may require the use of proprietary rights held by third parties, the growth of our business will likely depend in part on our ability to acquire, in-license or use these proprietary rights.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Our product candidates may also require specific formulations to work effectively and efficiently and these rights may be held by others. Similarly, efficient production or delivery of our product candidates may also require specific compositions or methods, and the rights to these may be owned by third parties.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 Moreover, the molecules that will be used with our product candidates may be covered by the intellectual property rights of others.</w:t>
      </w:r>
    </w:p>
    <w:p>
      <w:pPr>
        <w:spacing w:after="0" w:line="20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and allowing third parties to compete with us.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9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There can be no assurance that we will be able to successfully complete such negotiations and ultimately acquire the rights to the intellectual property surrounding the additional product candidates that we may seek to acquire. If we are unable to successfully obtain rights to required third-party intellectual property or to maintain the existing intellectual property rights we have, we may have to abandon development of such program and our business, results of operations, financial condition and prospects could suffer.</w:t>
      </w:r>
    </w:p>
    <w:p>
      <w:pPr>
        <w:spacing w:after="0" w:line="192"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Any issued patents we may own or in-license in the future covering our product candidates could be narrowed or found invalid or unenforceable if challenged in court or before administrative bodies in the United States or abroad, including the USPTO.</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If we or our future licensors or strategic partners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inter partes review, post grant review and equivalent proceedings in foreign jurisdictions (such as opposition proceedings). Such proceedings could result in revocation or amendment to our patent applications or any patents we may own or in-license in the future in such a way that they no longer cover our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in the future, allow third parties to commercialize our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21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0"/>
          <w:szCs w:val="20"/>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9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patent protection depends on compliance with various procedural, document submission, fee payment and other requirements imposed by governmental patent agencies, and patent protection could be reduced or eliminated for non-compliance with these requirements.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and following the issuance of a patent.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limited foreign intellectual property rights and may not be able to protect our intellectual property rights throughout the world.</w:t>
      </w:r>
    </w:p>
    <w:p>
      <w:pPr>
        <w:spacing w:after="0" w:line="23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We may not be able to pursue generic coverage of our product candidates outside of the United States. Filing, prosecuting and defending patents on product candidates in all countries throughout the world 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in jurisdictions where we do not have any issued patents our patent applications or other intellectual property rights may not be effective or sufficient to prevent them from competing. Our patent portfolio is at the very early stage. We will need to decide whether and in which jurisdictions to pursue protection for the various inventions in our portfolio prior to applicable deadlines.</w:t>
      </w:r>
    </w:p>
    <w:p>
      <w:pPr>
        <w:spacing w:after="0" w:line="18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any patents we may own or in-license in the future or marketing of competing products in violation of our proprietary rights generally. Proceedings to enforce any rights we may have in our patent applications or any patents we may own or in-license in the future in foreign jurisdictions could result in substantial costs and divert our efforts and attention from other aspects of our business, could put any patents we may own or in-license in the future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in the future that are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ind w:right="3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patent term extension and data exclusivity for any of our current or future product candidates we may develop, our business may be materially harmed.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Depending upon the timing, duration and specifics of any FDA marketing approval of any of our current or future product candidates we may develop, one or more U.S. patents we may own or in-license in the future may be eligible for limited patent term extension under the Drug Price Competition and Patent Term Restoration Act of 1984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expiration of any patents that issue from our patent applications, and our business, financial condition, results of operations, and prospects could be materially harmed.</w:t>
      </w:r>
    </w:p>
    <w:p>
      <w:pPr>
        <w:spacing w:after="0" w:line="174"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our trademarks and trade names are not adequately protected, then we may not be able to build name recognition in our marks of interest and our business may be adversely affected.</w:t>
      </w:r>
    </w:p>
    <w:p>
      <w:pPr>
        <w:spacing w:after="0" w:line="1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trademarks, and our trademarks may not survive such proceedings. If we are unable to obtain a registered trademark or establish name recognition based on our trademarks and trade names, we may not be able to compete effectively and our business may be adversely affected.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Numerous factors may limit any potential competitive advantage provided by our intellectual property rights.</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84" w:lineRule="exact"/>
        <w:rPr>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applications that we own or may in-license in the future may not lead to issued patents;</w:t>
      </w:r>
    </w:p>
    <w:p>
      <w:pPr>
        <w:spacing w:after="0" w:line="107" w:lineRule="exact"/>
        <w:rPr>
          <w:rFonts w:ascii="Times New Roman" w:cs="Times New Roman" w:eastAsia="Times New Roman" w:hAnsi="Times New Roman"/>
          <w:sz w:val="20"/>
          <w:szCs w:val="20"/>
          <w:color w:val="auto"/>
        </w:rPr>
      </w:pPr>
    </w:p>
    <w:p>
      <w:pPr>
        <w:ind w:left="660" w:right="120" w:hanging="328"/>
        <w:spacing w:after="0" w:line="283"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patents, should they issue, that we may own or in-license in the future, may not provide us with any competitive advantages, may be narrowed in scope, or may be challenged and held invalid or unenforceable;</w:t>
      </w:r>
    </w:p>
    <w:p>
      <w:pPr>
        <w:spacing w:after="0" w:line="51" w:lineRule="exact"/>
        <w:rPr>
          <w:rFonts w:ascii="Times New Roman" w:cs="Times New Roman" w:eastAsia="Times New Roman" w:hAnsi="Times New Roman"/>
          <w:sz w:val="20"/>
          <w:szCs w:val="20"/>
          <w:color w:val="auto"/>
        </w:rPr>
      </w:pPr>
    </w:p>
    <w:p>
      <w:pPr>
        <w:jc w:val="both"/>
        <w:ind w:left="660" w:right="120" w:hanging="328"/>
        <w:spacing w:after="0" w:line="261"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develop and/or practice technology, including compounds that are similar to the chemical compositions of our product candidates, that is similar to our technology or aspects of our technology but that is not covered by the claims of any patents we may own or in-license in the future, should any patents issue;</w:t>
      </w:r>
    </w:p>
    <w:p>
      <w:pPr>
        <w:spacing w:after="0" w:line="5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may compete with us in jurisdictions where we do not pursue and obtain patent protection;</w:t>
      </w:r>
    </w:p>
    <w:p>
      <w:pPr>
        <w:spacing w:after="0" w:line="121" w:lineRule="exact"/>
        <w:rPr>
          <w:rFonts w:ascii="Times New Roman" w:cs="Times New Roman" w:eastAsia="Times New Roman" w:hAnsi="Times New Roman"/>
          <w:sz w:val="20"/>
          <w:szCs w:val="20"/>
          <w:color w:val="auto"/>
        </w:rPr>
      </w:pPr>
    </w:p>
    <w:p>
      <w:pPr>
        <w:ind w:left="660" w:right="140" w:hanging="328"/>
        <w:spacing w:after="0" w:line="283" w:lineRule="auto"/>
        <w:tabs>
          <w:tab w:leader="none" w:pos="64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future licensors or collaborators, might not have been the first to make the inventions covered by a patent application that we own or may in-license in the future;</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or our future licensors or collaborators, might not have been the first to file patent applications covering a particular invention;</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40" w:hanging="328"/>
        <w:spacing w:after="0" w:line="28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without infringing, misappropriating or otherwise violating our intellectual property rights;</w:t>
      </w:r>
    </w:p>
    <w:p>
      <w:pPr>
        <w:spacing w:after="0" w:line="38" w:lineRule="exact"/>
        <w:rPr>
          <w:rFonts w:ascii="Times New Roman" w:cs="Times New Roman" w:eastAsia="Times New Roman" w:hAnsi="Times New Roman"/>
          <w:sz w:val="20"/>
          <w:szCs w:val="20"/>
          <w:color w:val="auto"/>
        </w:rPr>
      </w:pPr>
    </w:p>
    <w:p>
      <w:pPr>
        <w:ind w:left="660" w:hanging="328"/>
        <w:spacing w:after="0" w:line="258"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obtain and/or maintain necessary licenses on reasonable terms or at all;</w:t>
      </w:r>
    </w:p>
    <w:p>
      <w:pPr>
        <w:spacing w:after="0" w:line="107" w:lineRule="exact"/>
        <w:rPr>
          <w:rFonts w:ascii="Times New Roman" w:cs="Times New Roman" w:eastAsia="Times New Roman" w:hAnsi="Times New Roman"/>
          <w:sz w:val="20"/>
          <w:szCs w:val="20"/>
          <w:color w:val="auto"/>
        </w:rPr>
      </w:pPr>
    </w:p>
    <w:p>
      <w:pPr>
        <w:ind w:left="660" w:right="460" w:hanging="328"/>
        <w:spacing w:after="0" w:line="28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 parties may assert an ownership interest in our intellectual property and, if successful, such disputes may preclude us from exercising exclusive rights, or any rights at all, over that intellectual property;</w:t>
      </w:r>
    </w:p>
    <w:p>
      <w:pPr>
        <w:spacing w:after="0" w:line="38" w:lineRule="exact"/>
        <w:rPr>
          <w:rFonts w:ascii="Times New Roman" w:cs="Times New Roman" w:eastAsia="Times New Roman" w:hAnsi="Times New Roman"/>
          <w:sz w:val="20"/>
          <w:szCs w:val="20"/>
          <w:color w:val="auto"/>
        </w:rPr>
      </w:pPr>
    </w:p>
    <w:p>
      <w:pPr>
        <w:ind w:left="660" w:right="180" w:hanging="328"/>
        <w:spacing w:after="0" w:line="283" w:lineRule="auto"/>
        <w:tabs>
          <w:tab w:leader="none" w:pos="64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file a patent covering such trade secrets or know-how;</w:t>
      </w:r>
    </w:p>
    <w:p>
      <w:pPr>
        <w:spacing w:after="0" w:line="5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maintain the confidentiality of our trade secrets or other proprietary information;</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or in-license additional proprietary technologies that are patentable;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have an adverse effect on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Should any of these events occur, they could significantly harm our business, financial condition, results of operations and prospects.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intellectual property litigation</w:t>
      </w:r>
    </w:p>
    <w:p>
      <w:pPr>
        <w:spacing w:after="0" w:line="22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Third-party claims of intellectual property infringement, misappropriation or other violations may be costly and time consuming and may prevent or delay our product discovery and development efforts.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The intellectual property landscape around precision medicine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product candidates and other technologies that we have developed, are developing or may develop in the future do not or will not infringe, misappropriate or otherwise violate existing or future patents or other intellectual property rights owned by third parties.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73"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If a third party claims that we infringe, misappropriate or otherwise violate its intellectual property rights, we may face a number of issues, including, but not limited to:</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660" w:hanging="328"/>
        <w:spacing w:after="0" w:line="310" w:lineRule="auto"/>
        <w:tabs>
          <w:tab w:leader="none" w:pos="648"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16" w:lineRule="exact"/>
        <w:rPr>
          <w:rFonts w:ascii="Times New Roman" w:cs="Times New Roman" w:eastAsia="Times New Roman" w:hAnsi="Times New Roman"/>
          <w:sz w:val="19"/>
          <w:szCs w:val="19"/>
          <w:color w:val="auto"/>
        </w:rPr>
      </w:pPr>
    </w:p>
    <w:p>
      <w:pPr>
        <w:ind w:left="660" w:right="140" w:hanging="328"/>
        <w:spacing w:after="0" w:line="261"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73" w:lineRule="exact"/>
        <w:rPr>
          <w:rFonts w:ascii="Times New Roman" w:cs="Times New Roman" w:eastAsia="Times New Roman" w:hAnsi="Times New Roman"/>
          <w:sz w:val="20"/>
          <w:szCs w:val="20"/>
          <w:color w:val="auto"/>
        </w:rPr>
      </w:pPr>
    </w:p>
    <w:p>
      <w:pPr>
        <w:jc w:val="both"/>
        <w:ind w:left="660" w:right="200" w:hanging="328"/>
        <w:spacing w:after="0" w:line="261"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 prohibiting us from developing, manufacturing, marketing or selling our product candidates, including silevertinib, BDTX-4933, or BDTX-4876, or from using our proprietary technologies, unless the third party licenses its product rights to us, which it is not required to do, on commercially reasonable terms or at all;</w:t>
      </w:r>
    </w:p>
    <w:p>
      <w:pPr>
        <w:spacing w:after="0" w:line="73" w:lineRule="exact"/>
        <w:rPr>
          <w:rFonts w:ascii="Times New Roman" w:cs="Times New Roman" w:eastAsia="Times New Roman" w:hAnsi="Times New Roman"/>
          <w:sz w:val="20"/>
          <w:szCs w:val="20"/>
          <w:color w:val="auto"/>
        </w:rPr>
      </w:pPr>
    </w:p>
    <w:p>
      <w:pPr>
        <w:ind w:left="660" w:right="300" w:hanging="328"/>
        <w:spacing w:after="0" w:line="261"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73" w:lineRule="exact"/>
        <w:rPr>
          <w:rFonts w:ascii="Times New Roman" w:cs="Times New Roman" w:eastAsia="Times New Roman" w:hAnsi="Times New Roman"/>
          <w:sz w:val="20"/>
          <w:szCs w:val="20"/>
          <w:color w:val="auto"/>
        </w:rPr>
      </w:pPr>
    </w:p>
    <w:p>
      <w:pPr>
        <w:ind w:left="660" w:right="320" w:hanging="328"/>
        <w:spacing w:after="0" w:line="269"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redesigning our product candidates or processes so they do not infringe, misappropriate or violate third party intellectual property rights, which may not be possible or may require substantial monetary expenditures and time; and</w:t>
      </w:r>
    </w:p>
    <w:p>
      <w:pPr>
        <w:spacing w:after="0" w:line="64" w:lineRule="exact"/>
        <w:rPr>
          <w:rFonts w:ascii="Times New Roman" w:cs="Times New Roman" w:eastAsia="Times New Roman" w:hAnsi="Times New Roman"/>
          <w:sz w:val="20"/>
          <w:szCs w:val="20"/>
          <w:color w:val="auto"/>
        </w:rPr>
      </w:pPr>
    </w:p>
    <w:p>
      <w:pPr>
        <w:ind w:left="660" w:right="440" w:hanging="328"/>
        <w:spacing w:after="0" w:line="261" w:lineRule="auto"/>
        <w:tabs>
          <w:tab w:leader="none" w:pos="64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may choose to challenge the patentability of claims in a third party’s U.S. patent by requesting that the USPTO review the patent claims in an ex-parte re-exam, inter partes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Third parties may assert that we are employing their proprietary technology without authorization.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covering our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patent applications which may later result in issued patents that our product candidates may infringe. It is also possible that patents owned by third parties of which we are aware, but which we do not believe are relevant to our product candidates or other technologies, could be found to be infringed by our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 applications or any patents we may own or in-license in the future is threatened, it could dissuade companies from collaborating with us to license, develop or commercialize current or future product candidates.</w:t>
      </w:r>
    </w:p>
    <w:p>
      <w:pPr>
        <w:spacing w:after="0" w:line="200" w:lineRule="exact"/>
        <w:rPr>
          <w:sz w:val="20"/>
          <w:szCs w:val="20"/>
          <w:color w:val="auto"/>
        </w:rPr>
      </w:pPr>
    </w:p>
    <w:p>
      <w:pPr>
        <w:spacing w:after="0" w:line="2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92"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intellectual property rights, including any patents we may own or in-license in the future, which could be expensive, time-consuming and unsuccessful.</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Competitors may infringe any patents we may own or in-license in the future.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in the future is not valid or is unenforceable or that the other party’s use of our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in the future do not cover the technology in question or that such third party’s activities do not infringe our patent applications or any patents we may own or in-license in the future. An adverse result in any litigation or defense proceedings could put one or more of any patents we may own or in-license in the future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Post-grant proceedings provoked by third parties or brought by the USPTO may be necessary to determine the validity or priority of inventions with respect to our patent applications or any patents we may own or in-license in the future. These proceedings are expensive and an unfavorable outcome could result in a loss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review proceedings, we may become a party to patent opposition proceedings in the European Patent Office, or EPO, or similar proceedings in other foreign patent offices, where either our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9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20"/>
          <w:szCs w:val="20"/>
          <w:color w:val="auto"/>
        </w:rPr>
        <w:t>Litigation or post-grant proceedings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81"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We may not be able to detect infringement against any patents we may own or in-license in the future. Even if we detect infringement by a third party of any patents we may own or in-license in the future,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88"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or ownership of any intellectual property, including any patents we may own or in-license in the future.</w:t>
      </w:r>
    </w:p>
    <w:p>
      <w:pPr>
        <w:spacing w:after="0" w:line="14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may be subject to claims that former employees, collaborators or other third parties have an interest in any patents we may own or in-license in the future, trade secrets, or other intellectual property as an inventor or co-inventor. For example, we may have inventorship disputes arise from conflicting obligations of employees, consultants or others who are involved in developing our product candidates or other technologies. 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for such ownership rights. Disputes regarding ownership or inventorship of intellectual property can also arise in other contexts, such as collaborations and sponsored research. If we are subject to a dispute challenging our rights in or to patents or other intellectual property, such a dispute could be expensive and time consuming. Litigation may be necessary to defend against these and other claims challenging inventorship of any patents we may own or in-license in the future, trade secrets or other intellectual property. If we were unsuccessful, in addition to paying monetary damages, we could lose valuable rights in intellectual property that we regard as our own,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7"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have received confidential and proprietary information from third parties. In addition, as is common in the biotechnology and pharmaceutical industries, we employ individuals who were previously employed at universities or other biotechnology or pharmaceutical companies, including our competitors or potential competitors, in some cases until recently. We may be subject to claims that we or our employees, consultants or independent contractors have inadvertently or otherwise used or disclosed confidential information or trade secrets of these third parties or our employees’ former employers or our consultants’ or contractors’ current or former clients or customers. In addition, we have been and may in the future be subject to claims that we caused an employee to breach the terms of his or her non-competition or non-solicitation agreement. Litigation or arbitration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and possible aftermath could result in substantial cost and be a distraction to our management and employees. Any litigation or the threat thereof may adversely affect our ability to hire employees. A loss of key personnel or their work product could hamper or prevent our ability to commercialize product candidates, which could have an adverse effect on our business, results of operations and financial condition.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22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17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We utilize and depend upon independent investigators and collaborators, such as medical institutions, CROs, CMOs, and strategic partners to conduct and support our preclinical studies and clinical trials under agreements with us. We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96"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0"/>
          <w:szCs w:val="20"/>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77"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9"/>
          <w:szCs w:val="19"/>
          <w:b w:val="1"/>
          <w:bCs w:val="1"/>
          <w:i w:val="1"/>
          <w:iCs w:val="1"/>
          <w:color w:val="auto"/>
        </w:rPr>
        <w:t>We have entered into a license agreement, and may form or seek further collaborations or strategic alliances or enter into additional licensing arrangements in the future, and we may not realize the benefits of such collaborations, alliances or licensing arrangements.</w:t>
      </w:r>
    </w:p>
    <w:p>
      <w:pPr>
        <w:spacing w:after="0" w:line="14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9"/>
          <w:szCs w:val="19"/>
          <w:color w:val="auto"/>
        </w:rPr>
        <w:t>As part of our strategy, we have entered into a license agreement and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w:t>
      </w:r>
    </w:p>
    <w:p>
      <w:pPr>
        <w:spacing w:after="0" w:line="16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0"/>
          <w:szCs w:val="20"/>
          <w:color w:val="auto"/>
        </w:rPr>
        <w:t>For example, in March 2025, we entered into a global licensing agreement (the Servier Agreement) with Servier Pharmaceuticals LLC (Servier) for our second clinical-stage asset, BDTX-4933, a small molecule designed to address unmet medical needs in RAF/RAS-mutant solid tumors. Under the Servier Agreement, we granted to Servier a worldwide license to develop and commercialize BDTX-4933. Pursuant to the terms of the Servier Agreement, Servier will lead the development activities and the worldwide commercialization of BDTX-4933 across multiple indications, including NSCLC, with potential applications in other solid tumors. Failure by Servier to meet its obligations under the Servier Agreement, to apply sufficient efforts at developing and commercializing licensed products, or to comply with applicable legal or regulatory requirements, may materially adversely affect our business and our results of operations. We are also currently exploring potential partnerships for the pivotal development of silevertinib.</w:t>
      </w:r>
    </w:p>
    <w:p>
      <w:pPr>
        <w:spacing w:after="0" w:line="1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potency, purity and efficacy and obtain marketing approval.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Further, collaborations involving our product candidates are subject to numerous risks, which may include the following:</w:t>
      </w:r>
    </w:p>
    <w:p>
      <w:pPr>
        <w:spacing w:after="0" w:line="121"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a collaboration;</w:t>
      </w:r>
    </w:p>
    <w:p>
      <w:pPr>
        <w:spacing w:after="0" w:line="107" w:lineRule="exact"/>
        <w:rPr>
          <w:rFonts w:ascii="Times New Roman" w:cs="Times New Roman" w:eastAsia="Times New Roman" w:hAnsi="Times New Roman"/>
          <w:sz w:val="20"/>
          <w:szCs w:val="20"/>
          <w:color w:val="auto"/>
        </w:rPr>
      </w:pPr>
    </w:p>
    <w:p>
      <w:pPr>
        <w:ind w:left="660" w:right="60" w:hanging="328"/>
        <w:spacing w:after="0" w:line="258" w:lineRule="auto"/>
        <w:tabs>
          <w:tab w:leader="none" w:pos="6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720" w:hanging="328"/>
        <w:spacing w:after="0" w:line="310" w:lineRule="auto"/>
        <w:tabs>
          <w:tab w:leader="none" w:pos="648"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6" w:lineRule="exact"/>
        <w:rPr>
          <w:rFonts w:ascii="Times New Roman" w:cs="Times New Roman" w:eastAsia="Times New Roman" w:hAnsi="Times New Roman"/>
          <w:sz w:val="19"/>
          <w:szCs w:val="19"/>
          <w:color w:val="auto"/>
        </w:rPr>
      </w:pPr>
    </w:p>
    <w:p>
      <w:pPr>
        <w:ind w:left="660" w:right="62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our product candidates;</w:t>
      </w:r>
    </w:p>
    <w:p>
      <w:pPr>
        <w:spacing w:after="0" w:line="38" w:lineRule="exact"/>
        <w:rPr>
          <w:rFonts w:ascii="Times New Roman" w:cs="Times New Roman" w:eastAsia="Times New Roman" w:hAnsi="Times New Roman"/>
          <w:sz w:val="20"/>
          <w:szCs w:val="20"/>
          <w:color w:val="auto"/>
        </w:rPr>
      </w:pPr>
    </w:p>
    <w:p>
      <w:pPr>
        <w:ind w:left="660" w:right="6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collaborator with marketing and distribution rights to one or more products may not commit sufficient resources to their marketing and distribution;</w:t>
      </w:r>
    </w:p>
    <w:p>
      <w:pPr>
        <w:spacing w:after="0" w:line="51" w:lineRule="exact"/>
        <w:rPr>
          <w:rFonts w:ascii="Times New Roman" w:cs="Times New Roman" w:eastAsia="Times New Roman" w:hAnsi="Times New Roman"/>
          <w:sz w:val="20"/>
          <w:szCs w:val="20"/>
          <w:color w:val="auto"/>
        </w:rPr>
      </w:pPr>
    </w:p>
    <w:p>
      <w:pPr>
        <w:ind w:left="660" w:right="80" w:hanging="328"/>
        <w:spacing w:after="0" w:line="261"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9" w:lineRule="exact"/>
        <w:rPr>
          <w:rFonts w:ascii="Times New Roman" w:cs="Times New Roman" w:eastAsia="Times New Roman" w:hAnsi="Times New Roman"/>
          <w:sz w:val="20"/>
          <w:szCs w:val="20"/>
          <w:color w:val="auto"/>
        </w:rPr>
      </w:pPr>
    </w:p>
    <w:p>
      <w:pPr>
        <w:ind w:left="660" w:right="260" w:hanging="328"/>
        <w:spacing w:after="0" w:line="268"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20"/>
          <w:szCs w:val="20"/>
          <w:color w:val="auto"/>
        </w:rPr>
      </w:pPr>
    </w:p>
    <w:p>
      <w:pPr>
        <w:ind w:left="660" w:right="42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 candidates; and</w:t>
      </w:r>
    </w:p>
    <w:p>
      <w:pPr>
        <w:spacing w:after="0" w:line="38" w:lineRule="exact"/>
        <w:rPr>
          <w:rFonts w:ascii="Times New Roman" w:cs="Times New Roman" w:eastAsia="Times New Roman" w:hAnsi="Times New Roman"/>
          <w:sz w:val="20"/>
          <w:szCs w:val="20"/>
          <w:color w:val="auto"/>
        </w:rPr>
      </w:pPr>
    </w:p>
    <w:p>
      <w:pPr>
        <w:ind w:left="660" w:right="260" w:hanging="328"/>
        <w:spacing w:after="0" w:line="283"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As a result, if we enter into additional collaboration agreements and strategic partnerships or license our product candidates, we may not be able to realize the benefit of such transactions,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8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expect to rely in the future on the use of manufacturing suites in third-party facilities or third parties to manufacture our product candidates. Our business could be harmed if we are unable to use third-party manufacturing suites or if the third party manufacturers fail to provide us with sufficient quantities of our product candidates or fail to do so at acceptable quality levels or prices.</w:t>
      </w:r>
    </w:p>
    <w:p>
      <w:pPr>
        <w:spacing w:after="0" w:line="168"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0"/>
          <w:szCs w:val="20"/>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anticipated reliance on a limited number of third-party manufacturers exposes us to a number of risks, including the following:</w:t>
      </w:r>
    </w:p>
    <w:p>
      <w:pPr>
        <w:spacing w:after="0" w:line="121" w:lineRule="exact"/>
        <w:rPr>
          <w:sz w:val="20"/>
          <w:szCs w:val="20"/>
          <w:color w:val="auto"/>
        </w:rPr>
      </w:pPr>
    </w:p>
    <w:p>
      <w:pPr>
        <w:ind w:left="340" w:right="240" w:hanging="332"/>
        <w:spacing w:after="0" w:line="269" w:lineRule="auto"/>
        <w:tabs>
          <w:tab w:leader="none" w:pos="32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unable to identify manufacturers on acceptable terms or at all because the number of potential manufacturers is limited and the FDA must inspect any manufacturers for current cGMP compliance as part of our marketing application;</w:t>
      </w:r>
    </w:p>
    <w:p>
      <w:pPr>
        <w:spacing w:after="0" w:line="64" w:lineRule="exact"/>
        <w:rPr>
          <w:rFonts w:ascii="Times New Roman" w:cs="Times New Roman" w:eastAsia="Times New Roman" w:hAnsi="Times New Roman"/>
          <w:sz w:val="20"/>
          <w:szCs w:val="20"/>
          <w:color w:val="auto"/>
        </w:rPr>
      </w:pPr>
    </w:p>
    <w:p>
      <w:pPr>
        <w:ind w:left="340" w:right="580" w:hanging="332"/>
        <w:spacing w:after="0" w:line="283" w:lineRule="auto"/>
        <w:tabs>
          <w:tab w:leader="none" w:pos="32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manufacturer would have to be educated in, or develop substantially equivalent processes for, the production of our product candidates;</w:t>
      </w:r>
    </w:p>
    <w:p>
      <w:pPr>
        <w:spacing w:after="0" w:line="38" w:lineRule="exact"/>
        <w:rPr>
          <w:rFonts w:ascii="Times New Roman" w:cs="Times New Roman" w:eastAsia="Times New Roman" w:hAnsi="Times New Roman"/>
          <w:sz w:val="20"/>
          <w:szCs w:val="20"/>
          <w:color w:val="auto"/>
        </w:rPr>
      </w:pPr>
    </w:p>
    <w:p>
      <w:pPr>
        <w:ind w:left="340" w:right="40" w:hanging="332"/>
        <w:spacing w:after="0" w:line="283" w:lineRule="auto"/>
        <w:tabs>
          <w:tab w:leader="none" w:pos="32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manufacturers might be unable to timely manufacture our product candidates or produce the quantity and quality required to meet our clinical and commercial needs, if any;</w:t>
      </w:r>
    </w:p>
    <w:p>
      <w:pPr>
        <w:spacing w:after="0" w:line="3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 manufacturers may not be able to execute our manufacturing procedures and other logistical support requirements appropriately;</w:t>
      </w: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right="180" w:hanging="332"/>
        <w:spacing w:after="0" w:line="261" w:lineRule="auto"/>
        <w:tabs>
          <w:tab w:leader="none" w:pos="32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73" w:lineRule="exact"/>
        <w:rPr>
          <w:rFonts w:ascii="Times New Roman" w:cs="Times New Roman" w:eastAsia="Times New Roman" w:hAnsi="Times New Roman"/>
          <w:sz w:val="20"/>
          <w:szCs w:val="20"/>
          <w:color w:val="auto"/>
        </w:rPr>
      </w:pPr>
    </w:p>
    <w:p>
      <w:pPr>
        <w:ind w:left="340" w:right="140" w:hanging="332"/>
        <w:spacing w:after="0" w:line="261" w:lineRule="auto"/>
        <w:tabs>
          <w:tab w:leader="none" w:pos="32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73" w:lineRule="exact"/>
        <w:rPr>
          <w:rFonts w:ascii="Times New Roman" w:cs="Times New Roman" w:eastAsia="Times New Roman" w:hAnsi="Times New Roman"/>
          <w:sz w:val="20"/>
          <w:szCs w:val="20"/>
          <w:color w:val="auto"/>
        </w:rPr>
      </w:pPr>
    </w:p>
    <w:p>
      <w:pPr>
        <w:ind w:left="340" w:hanging="332"/>
        <w:spacing w:after="0" w:line="269" w:lineRule="auto"/>
        <w:tabs>
          <w:tab w:leader="none" w:pos="32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own, or may have to share, the intellectual property rights to any improvements made by our third-party manufacturers in the manufacturing process for our product candidates;</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third-party manufacturers could breach or terminate their agreements with us;</w:t>
      </w:r>
    </w:p>
    <w:p>
      <w:pPr>
        <w:spacing w:after="0" w:line="107" w:lineRule="exact"/>
        <w:rPr>
          <w:rFonts w:ascii="Times New Roman" w:cs="Times New Roman" w:eastAsia="Times New Roman" w:hAnsi="Times New Roman"/>
          <w:sz w:val="20"/>
          <w:szCs w:val="20"/>
          <w:color w:val="auto"/>
        </w:rPr>
      </w:pPr>
    </w:p>
    <w:p>
      <w:pPr>
        <w:ind w:left="340" w:right="120" w:hanging="332"/>
        <w:spacing w:after="0" w:line="283" w:lineRule="auto"/>
        <w:tabs>
          <w:tab w:leader="none" w:pos="32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 manufacturers and critical reagent suppliers may be subject to inclement weather, as well as natural or man-made disasters;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 manufacturers may be impacted by economic or geopolitical disruptions or global health concerns; and</w:t>
      </w:r>
    </w:p>
    <w:p>
      <w:pPr>
        <w:spacing w:after="0" w:line="121"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2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17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could be restricted due to geopolitical developments between the United States and China, including as a result of the escalation of tariffs or other trade restrictions or the enactment of the BIOSECURE Act or similar legislation. While the BIOSECURE Act is primarily directed at U.S. government procurement and funding and has not yet been fully implemented through final regulations, there remains a continued policy interest in limiting U.S. companies’ relationships with biotechnology providers with relationships with foreign adversaries. For instance, if our, our collaborators’, or other third parties’ China-based suppliers or service providers were named as a “biotechnology company of concern,” such designation could have the downstream effect of restricting our ability to enter into contracts with or receive funding from U.S. federal agencies from purchasing services or equipment involving the use of those Chinese biotechnology companies, as well as supply chain disruptions or delays. In any such circumstances, we may not be able to engage a backup or alternative supplier or service provider in a timely manner or at all. This, in turn, could materially and adversely affect our or our collaborators’ ability to manufacture or supply product candidates or advance our clinical development programs, which could materially and adversely affect our business and future prospects.</w:t>
      </w:r>
    </w:p>
    <w:p>
      <w:pPr>
        <w:spacing w:after="0" w:line="18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0"/>
          <w:szCs w:val="20"/>
          <w:color w:val="auto"/>
        </w:rPr>
        <w:t>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169"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174" w:lineRule="exact"/>
        <w:rPr>
          <w:sz w:val="20"/>
          <w:szCs w:val="20"/>
          <w:color w:val="auto"/>
        </w:rPr>
      </w:pPr>
    </w:p>
    <w:p>
      <w:pPr>
        <w:ind w:right="3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If our third-party manufacturers use hazardous and biological materials in a manner that causes injury or violates applicable law, we may be liable for damages.</w:t>
      </w:r>
    </w:p>
    <w:p>
      <w:pPr>
        <w:spacing w:after="0" w:line="14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managing growth and employee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employee matters</w:t>
      </w:r>
    </w:p>
    <w:p>
      <w:pPr>
        <w:spacing w:after="0" w:line="21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our key personnel. If we are not successful in attracting and retaining highly qualified personnel, we may not be able to successfully implement our business strategy.</w:t>
      </w:r>
    </w:p>
    <w:p>
      <w:pPr>
        <w:spacing w:after="0" w:line="1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President and Chief Executive Officer, Chief Scientific Officer, Chief Development Officer, Chief Medical Officer, Chief Operating Officer and General Counsel, and Senior Vice President of Finance and Principal Financial and Accounting Officer. We face a variety of risks and uncertainties relating to management transition, including diversion of management attention from business concerns, failure to retain other key personnel or loss of institutional knowledge. In addition, the loss of the services of any of our executive officers, other key employees and other scientific and medical advisors, and an inability to find suitable replacements could result in delays in product development and harm our business.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principal office is located in Cambridge, MA. The Massachusetts region is headquarters to many other biopharmaceutical companies and many academic and research institutions. Competition for skilled personnel in our market is intense and may limit our ability to hire and retain highly qualified personnel on acceptable terms or at all. Changes to U.S. immigration and work authorization laws and regulations, including those that restrain the flow of scientific and professional talent, can be significantly affected by political forces and levels of economic activity. Our business may be materially adversely affected if legislative or administrative changes to immigration or visa laws and regulations impair our hiring processes and goals or projects involving personnel who are not U.S. citizens.</w:t>
      </w:r>
    </w:p>
    <w:p>
      <w:pPr>
        <w:spacing w:after="0" w:line="19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To encourage valuable employees to remain at our company, in addition to salary and cash incentives, we have provided stock options that vest over time. The value to employees of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Our success also depends on our ability to continue to attract, retain and motivate highly skilled junior, mid-level and senior managers as well as junior, mid-level and senior scientific and medical personnel.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business operations and growth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need to grow the size of our organization, and we may experience difficulties in managing this growth.</w:t>
      </w:r>
    </w:p>
    <w:p>
      <w:pPr>
        <w:spacing w:after="0" w:line="2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As of December 31, 2025, we had 21 full-time employees. We may hire new employees to conduct our development activities in the future. Any delay in hiring such new employees could result in delays in our research and development activities and would harm our business. As our development and commercialization plans and strategies develop, we expect to need additional managerial, operational, sales, marketing, financial and other personnel to expand our operations. Future growth would impose significant added responsibilities on members of management, including:</w:t>
      </w:r>
    </w:p>
    <w:p>
      <w:pPr>
        <w:spacing w:after="0" w:line="70" w:lineRule="exact"/>
        <w:rPr>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recruiting, integrating, maintaining and motivating additional employees;</w:t>
      </w:r>
    </w:p>
    <w:p>
      <w:pPr>
        <w:spacing w:after="0" w:line="121" w:lineRule="exact"/>
        <w:rPr>
          <w:rFonts w:ascii="Times New Roman" w:cs="Times New Roman" w:eastAsia="Times New Roman" w:hAnsi="Times New Roman"/>
          <w:sz w:val="20"/>
          <w:szCs w:val="20"/>
          <w:color w:val="auto"/>
        </w:rPr>
      </w:pPr>
    </w:p>
    <w:p>
      <w:pPr>
        <w:ind w:left="340" w:right="180" w:hanging="332"/>
        <w:spacing w:after="0" w:line="283" w:lineRule="auto"/>
        <w:tabs>
          <w:tab w:leader="none" w:pos="32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managing our internal development efforts effectively, including the clinical and FDA review process for our product candidates, while complying with our contractual obligations to contractors and other third parties; and</w:t>
      </w:r>
    </w:p>
    <w:p>
      <w:pPr>
        <w:spacing w:after="0" w:line="3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improving our operational, financial and management controls, reporting systems and procedures.</w:t>
      </w:r>
    </w:p>
    <w:p>
      <w:pPr>
        <w:spacing w:after="0" w:line="229"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20"/>
          <w:szCs w:val="20"/>
          <w:color w:val="auto"/>
        </w:rPr>
        <w:t>Our future financial performance and our ability to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We currently rely, and for the foreseeable future will continue to rely, in substantial part on certain independent organizations, advisors and consultants to provide certain services, including substantially all aspects of regulatory approval, clinical trial management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8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0"/>
          <w:szCs w:val="20"/>
          <w:color w:val="auto"/>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used by our third-party CROs or other contractors or consultants, may fail or suffer security breaches, which could result in a material disruption of the development programs of our product candidates.</w:t>
      </w:r>
    </w:p>
    <w:p>
      <w:pPr>
        <w:spacing w:after="0" w:line="14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Despite the implementation of security measures, given their size and complexity and the increasing amounts of confidential information that they maintain, our internal computer systems and those of our current and future CROs, vendors and other contractors and consultants may be vulnerable to breakdown or other damage from computer viruses, unauthorized access, natural disasters, terrorism, war and telecommunication and electrical failures. Furthermore, the use of artificial intelligence (AI) technologies by use and third-party vendors can also give rise to cybersecurity risks as well as intellectual property risks, including the disclosure or compromise of our confidential information or other proprietary intellectual property through the use of generative AI tools, or the ability to assert or defend ownership rights in intellectual property created with the use of generative AI tools. Any of these effects could damage our reputation, result in the loss of valuable property and information, cause us to breach applicable laws and regulations, and adversely impact our business. While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data from completed or future preclinical studies and clinical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0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product liability lawsuits are brought against us, we may incur substantial liabilities and may be required to limit commercialization of our product candidates.</w:t>
      </w:r>
    </w:p>
    <w:p>
      <w:pPr>
        <w:spacing w:after="0" w:line="16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for our product candidates or products that we may develop;</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injury to our reputation;</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participants;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initiation of investigations by regulators;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to defend the related litigation;</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diversion of management’s time and our resources;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trial participants or patients;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revenue;</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exhaustion of any available insurance and our capital resources;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any product candidate; and</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decline in our share price.</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increasing use of social media platforms presents risks and challenges.</w:t>
      </w:r>
    </w:p>
    <w:p>
      <w:pPr>
        <w:spacing w:after="0" w:line="2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fail to realize some or all of the anticipated benefits of the contribution of assets and license to Revelio Therapeutics, Inc.</w:t>
      </w:r>
    </w:p>
    <w:p>
      <w:pPr>
        <w:spacing w:after="0" w:line="23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The anticipated financial, strategic and other benefits of our contribution to Revelio Therapeutics, Inc. (Revelio), formerly known as Launchpad Therapeutics, Inc., of certain early discovery-stage antibody programs and license to our MAP drug discovery engine for certain large molecule therapies may not be achieved.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may be limited.</w:t>
      </w:r>
    </w:p>
    <w:p>
      <w:pPr>
        <w:spacing w:after="0" w:line="23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Under Sections 382 and 383 of the Internal Revenue Code of 1986, as amended (IRC),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and other transactions that have occurred over the past three years, we may have experienced, and may experience, an “ownership change.” We may also experience ownership changes in the future as a result of subsequent shifts in our stock ownership. As of December 31, 2025, we had gross U.S. federal net operating loss carryforwards of $322 million, state net operating loss carryforwards of $221 million and U.S. federal research and development tax credit carryforwards of $13 million, each of which will begin to expire at various dates through 2045 and which could be limited if we experience an “ownership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investments in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stock is volatile, and you could lose all or part of your investment.</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Similar to the trading prices of the common stock of other biopharmaceutical companies, the trading price of our common stock is subject to wide fluctuations in response to various factors, some of which are beyond our control, including limited trading volume. In addition to the factors discussed in this “Risk Factors” section and elsewhere in this Annual Report, these factors include:</w:t>
      </w:r>
    </w:p>
    <w:p>
      <w:pPr>
        <w:spacing w:after="0" w:line="73"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ongoing, planned or any future preclinical studies, clinical trials or clinical development programs;</w:t>
      </w:r>
    </w:p>
    <w:p>
      <w:pPr>
        <w:spacing w:after="0" w:line="107" w:lineRule="exact"/>
        <w:rPr>
          <w:rFonts w:ascii="Times New Roman" w:cs="Times New Roman" w:eastAsia="Times New Roman" w:hAnsi="Times New Roman"/>
          <w:sz w:val="20"/>
          <w:szCs w:val="20"/>
          <w:color w:val="auto"/>
        </w:rPr>
      </w:pPr>
    </w:p>
    <w:p>
      <w:pPr>
        <w:ind w:left="340" w:right="380" w:hanging="332"/>
        <w:spacing w:after="0" w:line="283" w:lineRule="auto"/>
        <w:tabs>
          <w:tab w:leader="none" w:pos="32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enrollment, or results of clinical trials of our product candidates or any future clinical trials we may conduct, or changes in the development status of our product candidates;</w:t>
      </w:r>
    </w:p>
    <w:p>
      <w:pPr>
        <w:spacing w:after="0" w:line="5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results or delays in preclinical studies and clinical trials;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decision to initiate a clinical trial, not to initiate a clinical trial, or to terminate an existing clinical trial;</w:t>
      </w:r>
    </w:p>
    <w:p>
      <w:pPr>
        <w:spacing w:after="0" w:line="121" w:lineRule="exact"/>
        <w:rPr>
          <w:rFonts w:ascii="Times New Roman" w:cs="Times New Roman" w:eastAsia="Times New Roman" w:hAnsi="Times New Roman"/>
          <w:sz w:val="20"/>
          <w:szCs w:val="20"/>
          <w:color w:val="auto"/>
        </w:rPr>
      </w:pPr>
    </w:p>
    <w:p>
      <w:pPr>
        <w:ind w:left="340" w:right="240" w:hanging="332"/>
        <w:spacing w:after="0" w:line="269" w:lineRule="auto"/>
        <w:tabs>
          <w:tab w:leader="none" w:pos="32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delay in our regulatory filings or any adverse regulatory decisions, including failure to receive regulatory approval of our product candidates;</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laws or regulations applicable to our products, including but not limited to clinical trial requirements for approvals;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developments concerning our manufacturers or our manufacturing plans;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obtain adequate product supply for any licensed product or inability to do so at acceptable prices;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inability to establish collaborations if needed;</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commercialize our product candidates;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key scientific or management personnel;</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unanticipated serious safety concerns related to the use of our product candidates;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introduction of new products or services offered by us or our competitors;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significant acquisitions, strategic partnerships, joint ventures or capital commitments by us or our competitors;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of our initial cancer target markets;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treat additional types of cancers or at different stages;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variations in quarterly operating results;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cash position;</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failure to meet the estimates and projections of the investment community or that we may otherwise provide to the public;</w:t>
      </w:r>
    </w:p>
    <w:p>
      <w:pPr>
        <w:spacing w:after="0" w:line="121" w:lineRule="exact"/>
        <w:rPr>
          <w:rFonts w:ascii="Times New Roman" w:cs="Times New Roman" w:eastAsia="Times New Roman" w:hAnsi="Times New Roman"/>
          <w:sz w:val="20"/>
          <w:szCs w:val="20"/>
          <w:color w:val="auto"/>
        </w:rPr>
      </w:pPr>
    </w:p>
    <w:p>
      <w:pPr>
        <w:ind w:left="340" w:right="360" w:hanging="332"/>
        <w:spacing w:after="0" w:line="269" w:lineRule="auto"/>
        <w:tabs>
          <w:tab w:leader="none" w:pos="32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publication of research reports about us or our industry, or immunotherapy in particular, or positive or negative recommendations or withdrawal of research coverage by securities analysts;</w:t>
      </w:r>
    </w:p>
    <w:p>
      <w:pPr>
        <w:spacing w:after="0" w:line="6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performance of the equity markets;</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our common stock by us or our stockholders in the future;</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volume of our common stock;</w:t>
      </w:r>
    </w:p>
    <w:p>
      <w:pPr>
        <w:spacing w:after="0" w:line="107"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practices;</w:t>
      </w:r>
    </w:p>
    <w:p>
      <w:pPr>
        <w:spacing w:after="0" w:line="121"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ineffectiveness of our internal controls;</w:t>
      </w:r>
    </w:p>
    <w:p>
      <w:pPr>
        <w:spacing w:after="0" w:line="121" w:lineRule="exact"/>
        <w:rPr>
          <w:rFonts w:ascii="Times New Roman" w:cs="Times New Roman" w:eastAsia="Times New Roman" w:hAnsi="Times New Roman"/>
          <w:sz w:val="20"/>
          <w:szCs w:val="20"/>
          <w:color w:val="auto"/>
        </w:rPr>
      </w:pPr>
    </w:p>
    <w:p>
      <w:pPr>
        <w:ind w:left="340" w:right="100" w:hanging="332"/>
        <w:spacing w:after="0" w:line="269" w:lineRule="auto"/>
        <w:tabs>
          <w:tab w:leader="none" w:pos="32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disputes or other developments relating to intellectual property or proprietary rights, including patents, litigation matters and our ability to obtain patent protection for our technologies;</w:t>
      </w: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lawsuits, including intellectual property or stockholder litigation;</w:t>
      </w:r>
    </w:p>
    <w:p>
      <w:pPr>
        <w:spacing w:after="0" w:line="121" w:lineRule="exact"/>
        <w:rPr>
          <w:rFonts w:ascii="Times New Roman" w:cs="Times New Roman" w:eastAsia="Times New Roman" w:hAnsi="Times New Roman"/>
          <w:sz w:val="20"/>
          <w:szCs w:val="20"/>
          <w:color w:val="auto"/>
        </w:rPr>
      </w:pPr>
    </w:p>
    <w:p>
      <w:pPr>
        <w:ind w:left="340" w:right="60" w:hanging="332"/>
        <w:spacing w:after="0" w:line="254" w:lineRule="auto"/>
        <w:tabs>
          <w:tab w:leader="none" w:pos="32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geopolitical, industry and macroeconomic conditions, such as recessions, interest rates, fuel prices, foreign currency fluctuations, tariffs (including tariffs that have been or may in the future be imposed by the United States or other countries), sanctions, trade protection measures or other trade barriers (including further legislation or actions taken by the United States or other countries that restrict trade), social, political and economic risks and military acts of war or terrorism; and</w:t>
      </w:r>
    </w:p>
    <w:p>
      <w:pPr>
        <w:spacing w:after="0" w:line="79"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 and future prospects.</w:t>
      </w:r>
    </w:p>
    <w:p>
      <w:pPr>
        <w:spacing w:after="0" w:line="17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 to our technologies or product candidates.</w:t>
      </w:r>
    </w:p>
    <w:p>
      <w:pPr>
        <w:spacing w:after="0" w:line="14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We will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intend to pay dividends on our common stock, so any returns will be limited to the value of our stock.</w:t>
      </w:r>
    </w:p>
    <w:p>
      <w:pPr>
        <w:spacing w:after="0" w:line="2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We have never declared or paid cash dividends on shares of our common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common stock. Any return to stockholders will therefore be limited to the appreciation of their stock, which may never occur.</w:t>
      </w:r>
    </w:p>
    <w:p>
      <w:pPr>
        <w:spacing w:after="0" w:line="188"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9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9"/>
          <w:szCs w:val="19"/>
          <w:color w:val="auto"/>
        </w:rPr>
        <w:t>Based upon our common stock outstanding as of December 31, 2025, our executive officers, directors, and their affiliates beneficially owned a significant percentage of our outstanding voting stock. These stockholders, acting together, are able to significantly influence all matters requiring stockholder approval. For example, these stockholders are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167"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and we cannot be certain if the reduced reporting requirements applicable to smaller reporting companies will make our common stock less attractive to investors.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Effective as of December 31, 2025, the fifth anniversary of the closing of our IPO, we no longer qualify as an “emerging growth company.” As a result, commencing with this Annual Report, we are no longer be eligible to take advantage of certain exemptions from various reporting requirements that are applicable to emerging growth companies.</w:t>
      </w:r>
    </w:p>
    <w:p>
      <w:pPr>
        <w:spacing w:after="0" w:line="18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Even though we no longer qualify as an emerging growth company, we still qualify as a “smaller reporting company” and a “non-accelerated filer,” which allows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Annual Report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5"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We are incurring, and will continue to incur, significant increased expenses and administrative burdens as a public company, which could have an adverse effect on our business, financial condition and results of operations.</w:t>
      </w:r>
    </w:p>
    <w:p>
      <w:pPr>
        <w:spacing w:after="0" w:line="15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As a public company, and particularly now that we are no longer an emerging growth company, we incur significant legal, accounting, administrative and other costs and expenses that we did not incur as a private company. The Sarbanes-Oxley Act, including the requirements of Section 404 thereof, as well as rules and regulations subsequently implemented by the SEC, the Dodd-Frank Wall Street Reform and Consumer Protection Act of 2010 and the rules and regulations promulgated and to be promulgated thereunder, the Public Company Accounting Oversight Board and the securities exchanges, impose additional reporting and other obligations on public companies, including establishment and maintenance of effective disclosure and financial controls and corporate governance practices. We may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continue to increase our legal and financial compliance costs and will make some activities more time-consuming and costly. We are continuously evaluating these rules and regulations which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Pursuant to Section 404 of the Sarbanes-Oxley Act (SOX Section 404) we are required to furnish a report by our management on our internal control over financial reporting with our Annual Report on Form 10-K with the SEC and to include an attestation report on internal control over financial reporting issued by our independent registered public accounting firm. However, we may, under certain conditions, still qualify as a “smaller reporting company” and benefit from similar exemptions from disclosure requirements, including not being required to comply with the auditor attestation requirements of Section 404 of the Sarbanes-Oxley Act and reduced disclosure obligations regarding executive compensation in our periodic reports and proxy statements. To achieve compliance with SOX Section 404 within the prescribed period, we engage in a process to document and evaluate our internal control over financial reporting, which is both costly and challenging. In this regard, we will need to continue to dedicate internal resources, potentially engage outside consultants and maintain a detailed work plan to assess and document the adequacy of internal control over financial reporting, continue steps to improve control processes as appropriate, validate through testing that controls are functioning as documented and maintain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93"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common stock by our existing stockholders in the public market could cause our stock price to fall.</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or other securities convertible into or exchangeable for our common stock in the public market, or the perception that such sales might occur, could depress the market price of our common stock, could make it more difficult for you to sell your common stock at a time and price that you deem appropriate, and could impair our ability to raise capital through the sale of additional equity securities. We cannot predict the effect that future sales of our common stock or other equity-related securities would have on the prevailing market price of our common stock.</w:t>
      </w:r>
    </w:p>
    <w:p>
      <w:pPr>
        <w:spacing w:after="0" w:line="188"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Unstable market and macroeconomic conditions, political instability and geopolitical events may have serious adverse consequences on our business, financial condition and stock price.</w:t>
      </w:r>
    </w:p>
    <w:p>
      <w:pPr>
        <w:spacing w:after="0" w:line="14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 widely reported, the global credit and financial markets have experienced extreme volatility and disruptions in the past several years, including severely diminished liquidity and credit availability, declines in consumer confidence, declines in economic growth, high inflation, changes in interest rates, increases in unemployment rates and uncertainty about economic stability. For example, inflation generally affects us by increasing our employee-related costs and clinical trial expenses, as well as other operating expenses. There can be no assurance that further deterioration in credit and financial markets and in global economic and political conditions will not occur. Further, changing circumstances, some of which may be beyond our control, could cause us to consume capital significantly faster than we currently anticipate, and we may need to seek additional funds sooner than planned.</w:t>
      </w:r>
    </w:p>
    <w:p>
      <w:pPr>
        <w:spacing w:after="0" w:line="17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Our business could also be impacted by volatility caused by geopolitical events within the United States and foreign jurisdictions, including as a result of an economic downturn and geopolitical events, such as changes in or disruptions of U.S. governmental agencies, whether from a prolonged U.S. federal government shutdown or reduced resources, disruptions in capital markets, the potential for significant changes in U.S. federal policies or regulatory environment that affect the geopolitical landscape and ongoing military conflicts. For instance, the ongoing Ukraine-Russia and Israel-Hamas conflicts could disrupt or otherwise adversely impact our operations and those of third parties upon which we rely or may rely in the future. Related sanctions, export controls or other actions may be initiated by nations including the U.S., the EU or Russia (e.g., potential cyberattacks, disruption of energy flows, etc.), which could adversely affect our business and/or our supply chain, our CROs, CMOs and other third parties with which we conduct or in the future may conduct business. Further, state-sponsored cyberattacks could expand as part of the conflict, which would adversely affect our and our suppliers' ability to maintain or enhance key cybersecurity and data protection measures. Our financial condition and results of operations may also be impacted by other factors we may not be able to control, such as global supply chain disruptions, global trade disputes or political instability. Additionally,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on October 1, 2025, the U.S. federal government shutdown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If the current equity and credit markets deteriorate, or do not improve, it may make obtaining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 To the extent that our profitability and strategies are negatively affected by downturns or volatility in general economic conditions, our business and results of operations may be materially adversely affected.</w:t>
      </w:r>
    </w:p>
    <w:p>
      <w:pPr>
        <w:spacing w:after="0" w:line="189"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publish inaccurate or unfavorable research about our business, our stock price and trading volume could decline.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trading market for our common stock will depend in part on the research and reports that securities or industry analysts publish about us or our business. If one or more of the analysts who cover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68"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Our failure or perceived failure to implement or maintain corporate sustainability practices that meet evolving stakeholder expectations could adversely affect us.</w:t>
      </w:r>
    </w:p>
    <w:p>
      <w:pPr>
        <w:spacing w:after="0" w:line="15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Our ability to implement or maintain corporate sustainability practices that meet evolving stakeholder expectations is subject to numerous factors both within and outside of our control and failure, or perceived failure, could harm our reputation, adversely impact our ability to attract and retain employees and expose us to increased scrutiny from the investment community, regulatory authorities and others or subject us to liability. Our reputation also may be harmed by the perceptions that our stakeholders have about our action or inaction on corporate sustainability issues. In addition, changes to corporate sustainability laws and regulations across the jurisdictions in which we currently operate, or may operate in the future, may increase compliance risks and costs and, together with differing views on the appropriate role of sustainability practices and disclosures, may adversely impact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charter and bylaws</w:t>
      </w:r>
    </w:p>
    <w:p>
      <w:pPr>
        <w:spacing w:after="0" w:line="21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5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73" w:lineRule="exact"/>
        <w:rPr>
          <w:sz w:val="20"/>
          <w:szCs w:val="20"/>
          <w:color w:val="auto"/>
        </w:rPr>
      </w:pPr>
    </w:p>
    <w:p>
      <w:pPr>
        <w:ind w:left="340" w:hanging="332"/>
        <w:spacing w:after="0" w:line="269" w:lineRule="auto"/>
        <w:tabs>
          <w:tab w:leader="none" w:pos="32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board of directors divided into three classes serving staggered three-year terms, such that not all members of the board will be elected at one time;</w:t>
      </w:r>
    </w:p>
    <w:p>
      <w:pPr>
        <w:spacing w:after="0" w:line="64" w:lineRule="exact"/>
        <w:rPr>
          <w:rFonts w:ascii="Times New Roman" w:cs="Times New Roman" w:eastAsia="Times New Roman" w:hAnsi="Times New Roman"/>
          <w:sz w:val="20"/>
          <w:szCs w:val="20"/>
          <w:color w:val="auto"/>
        </w:rPr>
      </w:pPr>
    </w:p>
    <w:p>
      <w:pPr>
        <w:ind w:left="340" w:right="500" w:hanging="332"/>
        <w:spacing w:after="0" w:line="283" w:lineRule="auto"/>
        <w:tabs>
          <w:tab w:leader="none" w:pos="32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on stockholder action through written consent, which requires that all stockholder actions be taken at a meeting of our stockholders;</w:t>
      </w:r>
    </w:p>
    <w:p>
      <w:pPr>
        <w:spacing w:after="0" w:line="38" w:lineRule="exact"/>
        <w:rPr>
          <w:rFonts w:ascii="Times New Roman" w:cs="Times New Roman" w:eastAsia="Times New Roman" w:hAnsi="Times New Roman"/>
          <w:sz w:val="20"/>
          <w:szCs w:val="20"/>
          <w:color w:val="auto"/>
        </w:rPr>
      </w:pPr>
    </w:p>
    <w:p>
      <w:pPr>
        <w:ind w:left="340" w:right="200" w:hanging="332"/>
        <w:spacing w:after="0" w:line="283" w:lineRule="auto"/>
        <w:tabs>
          <w:tab w:leader="none" w:pos="32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requirement that special meetings of stockholders be called only by the board of directors acting pursuant to a resolution approved by the affirmative vote of a majority of the directors then in office;</w:t>
      </w:r>
    </w:p>
    <w:p>
      <w:pPr>
        <w:spacing w:after="0" w:line="38"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notice requirements for stockholder proposals and nominations for election to our board of directors;</w:t>
      </w:r>
    </w:p>
    <w:p>
      <w:pPr>
        <w:spacing w:after="0" w:line="121" w:lineRule="exact"/>
        <w:rPr>
          <w:rFonts w:ascii="Times New Roman" w:cs="Times New Roman" w:eastAsia="Times New Roman" w:hAnsi="Times New Roman"/>
          <w:sz w:val="20"/>
          <w:szCs w:val="20"/>
          <w:color w:val="auto"/>
        </w:rPr>
      </w:pPr>
    </w:p>
    <w:p>
      <w:pPr>
        <w:ind w:left="340" w:hanging="332"/>
        <w:spacing w:after="0" w:line="261" w:lineRule="auto"/>
        <w:tabs>
          <w:tab w:leader="none" w:pos="32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3" w:lineRule="exact"/>
        <w:rPr>
          <w:rFonts w:ascii="Times New Roman" w:cs="Times New Roman" w:eastAsia="Times New Roman" w:hAnsi="Times New Roman"/>
          <w:sz w:val="20"/>
          <w:szCs w:val="20"/>
          <w:color w:val="auto"/>
        </w:rPr>
      </w:pPr>
    </w:p>
    <w:p>
      <w:pPr>
        <w:ind w:left="340" w:right="260" w:hanging="332"/>
        <w:spacing w:after="0" w:line="269" w:lineRule="auto"/>
        <w:tabs>
          <w:tab w:leader="none" w:pos="32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requirement of approval of not less than two-thirds of all outstanding shares of our voting stock to amend any bylaws by stockholder action or to amend specific provisions of our certificate of incorporation; and</w:t>
      </w:r>
    </w:p>
    <w:p>
      <w:pPr>
        <w:spacing w:after="0" w:line="64" w:lineRule="exact"/>
        <w:rPr>
          <w:rFonts w:ascii="Times New Roman" w:cs="Times New Roman" w:eastAsia="Times New Roman" w:hAnsi="Times New Roman"/>
          <w:sz w:val="20"/>
          <w:szCs w:val="20"/>
          <w:color w:val="auto"/>
        </w:rPr>
      </w:pPr>
    </w:p>
    <w:p>
      <w:pPr>
        <w:ind w:left="340" w:hanging="332"/>
        <w:spacing w:after="0" w:line="283" w:lineRule="auto"/>
        <w:tabs>
          <w:tab w:leader="none" w:pos="32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9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bylaws designate a certain court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9"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This exclusive forum provision will not apply to any causes of action arising under the Securities Act or the Exchange Act. In addition, our amended and restated bylaws will provide that any person or entity purchasing or otherwise acquiring any interest in shares of our common stock is deemed to have notice of and consented to the foregoing provisions.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internal control over financial reporting</w:t>
      </w:r>
    </w:p>
    <w:p>
      <w:pPr>
        <w:spacing w:after="0" w:line="225"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If we fail to establish and maintain proper and effective internal control over financial reporting, our operating results and our ability to operate our business could be harmed.</w:t>
      </w:r>
    </w:p>
    <w:p>
      <w:pPr>
        <w:spacing w:after="0" w:line="16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Adequate internal control over financial reporting are necessary for us to provide reliable financial reports and, together with effective disclosure controls and procedures, are designed to prevent or detect material misstatements due to fraud or error. Any failure to implement required new or improved controls, or difficulties encountered in their implementation could cause us to fail to meet our reporting obligations. In addition, any testing conducted by us in connection with Section 404 of the Sarbanes-Oxley Act,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have a negative effect on the trading price of our stock.</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 to new and existing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collection is governed by restrictive regulations governing the use, processing and cross-border transfer of personal information.</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the event we decide to conduct clinical trials or continue to enroll subjects in our ongoing or future clinical trials, we may be subject to additional privacy restrictions. The collection, use, storage, disclosure, transfer, or other processing of personal data regarding individuals in the EEA, including personal health data, is subject to the GDPR. The GDPR is wide-ranging in scope and imposes numerous requirements on companies that process personal data, including requirements relating to having a legal basis for processing personal data, stricter requirements relating to the processing of sensitive data (such as health data), where required by GDPR obtaining consent of the individuals to whom the personal data relates, providing information to individuals regarding data processing activities, implementing safeguards to protect the security and confidentiality of personal data, providing notification of data breaches, requiring data protection impact assessments for high risk processing and taking certain measures when engaging third-party processors. The GDPR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increases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9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cause our costs to increase, and harm our business and financial condition.</w:t>
      </w:r>
    </w:p>
    <w:p>
      <w:pPr>
        <w:spacing w:after="0" w:line="18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are subject to evolving and strict rules on the transfer of personal data out of the EEA to third countries such as the United States. The GDPR imposes strict rules on the transfer of personal data to countries outside the EEA, including the United States. Unless the destination country is an adequate country (as recognized by the European Commission), we may be required to incorporate a GDPR transfer mechanism (such as the European Commission approved standard contractual clauses (SCCs)) into our agreements with third parties to govern transfers of personal data outside the EEA. The SCCs may also impact our business as companies based in the EEA may be reluctant to utilize the these clauses to legitimize transfers of personal data to third countries given the burdensome requirements of transfer impact assessments and the substantial obligations that SCCs impose upon exporters. Alternatively, the EU and United States have adopted the EU-U.S. Data Privacy Framework (Framework) on the basis that the protection of personal data transferred from the EU to the United States is comparable to that offered in the EU. The Framework provides a further avenue to ensuring transfers to the United States are carried out in line with GDPR. The Framework could be challenged like its predecessor frameworks. This complexity and the additional contractual burden increases our overall risk exposure.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addition, further to the UK’s exit from the EU, the UK’s EU (Withdrawal) Act 2018 incorporated the GDPR into UK law, referred to as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UK GDPR. The UK GDPR and the UK Data Protection Act 2018 set out the UK’s data protection regime, which is independent from but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currently still aligned to the EU’s data protection regime. Non-compliance with the UK GDPR may result in monetary penalties of up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£17.5 million or 4% of worldwide revenue, whichever is higher. Although the UK is regarded as a third country under the EU’s GDPR,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European Commission has issued a decision recognizing the UK as providing adequate protection under the EU GDPR and, therefore,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transfers of personal data originating in the EU to the UK remain unrestricted. Like the EU GDPR, the UK GDPR restricts personal data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transfers outside the UK to countries not regarded by the UK as providing adequate protection. The transfer of personal data outside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UK is not subject to the new forms of SCCs but the UK has issued its own transfer mechanism – the UK international data transfer agreement</w:t>
      </w:r>
    </w:p>
    <w:p>
      <w:pPr>
        <w:spacing w:after="0" w:line="18" w:lineRule="exact"/>
        <w:rPr>
          <w:sz w:val="20"/>
          <w:szCs w:val="20"/>
          <w:color w:val="auto"/>
        </w:rPr>
      </w:pPr>
    </w:p>
    <w:p>
      <w:pPr>
        <w:ind w:right="600"/>
        <w:spacing w:after="0" w:line="253" w:lineRule="auto"/>
        <w:rPr>
          <w:sz w:val="20"/>
          <w:szCs w:val="20"/>
          <w:color w:val="auto"/>
        </w:rPr>
      </w:pPr>
      <w:r>
        <w:rPr>
          <w:rFonts w:ascii="Times New Roman" w:cs="Times New Roman" w:eastAsia="Times New Roman" w:hAnsi="Times New Roman"/>
          <w:sz w:val="20"/>
          <w:szCs w:val="20"/>
          <w:color w:val="auto"/>
        </w:rPr>
        <w:t>– which, like the SCCs, requires exporters to carry out a transfer impact assessment. In addition, there has been an extension to the Framework to cover UK transfers to the United States. In 2025, the Data (Use and Access) Bill (DUA Act) passed both Houses of UK Parliament and received Royal Assent. The DUA Act alters requirements for international data transfers and marks a shift in the UK’s approach to data protection.</w:t>
      </w:r>
    </w:p>
    <w:p>
      <w:pPr>
        <w:spacing w:after="0" w:line="176"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9"/>
          <w:szCs w:val="19"/>
          <w:color w:val="auto"/>
        </w:rPr>
        <w:t>In the U.S., federal and state laws govern the privacy and security of health information in certain circumstances, some of which are more stringent than HIPAA and many of which differ from each other in significant ways and may not have the same effect, thus complicating compliance efforts. By way of example, the California Consumer Privacy Act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Further, the law created a new state regulatory agency, now known as CalPrivacy, that is responsible for implementing and enforcing the CCPA. Since the CCPA’s enactment, numerous states have introduced or enacted comprehensive privacy laws, adding complexity, variation in requirements, restrictions and potential legal risk requiring additional investment of resources in compliance programs.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8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Although many of the existing state privacy laws exempt clinical trial information and health information governed by HIPAA, future privacy and data protection laws may be broader in scope. The existence of comprehensive privacy laws in different states in the country may increase the likelihood that we may be subject to enforcement actions or otherwise incur liability for noncompliance. In addition to these comprehensive consumer privacy laws and proposals, a number of other states have passed or proposed more limited privacy laws that focus on specific privacy issues such as biometric data and the consumer health privacy, such as Washington’s My Health My Data Act, which has a private right of action that further increases the relevant compliance risk. Connecticut and Nevada have also passed similar laws regulating consumer health data. At the federal level, the FTC has used its authority over “unfair or deceptive acts or practices” to impose stringent requirements on the collection and disclosure of sensitive categories of personal information, including health information. Moreover, the FTC’s expanded interpretation of a “breach” under its Health Breach Notification Rule imposes new disclosure obligations that would apply in the event of a qualifying breach. These various privacy and security laws may impact our business activities, including our identification of research subjects, relationships with business partners and ultimately the marketing and distribution of our products.</w:t>
      </w:r>
    </w:p>
    <w:p>
      <w:pPr>
        <w:spacing w:after="0" w:line="20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We may use and integrate artificial intelligence into our business processes, both in our own development and implementation of artificial intelligence and through the adoption of commercially available tools. Use of this technology could pose cybersecurity, data privacy, IT, intellectual property, regulatory, legal, operational, competitive, reputational and other risks and challenges that could affect our business.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9"/>
          <w:szCs w:val="19"/>
          <w:color w:val="auto"/>
        </w:rPr>
        <w:t>In Europe, the Artificial Intelligence Act (AI Act) began implementation on August 1, 2024, with a significant part of the law scheduled to come into effect in August 2026. As currently enacted, the AI Act, which may be amended as part of the EU’s Digital Omnibus, imposes significant obligations on providers and deployers of high-risk artificial intelligence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the U.S., the artificial intelligence regulatory environment is complex and uncertain. Over the past year, states have advanced, and in some cases passed, dozens of laws focusing on artificial intelligence governance and regulation, including on deployment of artificial intelligence in healthcare settings. At the federal level, the Trump Administration has endorsed a federal moratorium on the enforcement of state artificial intelligence laws, including through a December 11, 2025, executive order on “Ensuring a National Policy Framework for Artificial Intelligence.” So far, these efforts have not been successful at curtailing state action on artificial intelligence regulation, contributing to a complicated legislative patchwork, which may be litigated in state and federal courts.</w:t>
      </w:r>
    </w:p>
    <w:p>
      <w:pPr>
        <w:spacing w:after="0" w:line="19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Regulators and legislators in the U.S. are also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 Compliance with these new regulations may require us to implement due diligence obligations and analysis of access to data by our employees, vendors and business partners.</w:t>
      </w:r>
    </w:p>
    <w:p>
      <w:pPr>
        <w:spacing w:after="0" w:line="16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China, there have also been significant developments concerning privacy and data security. On June 10, 2021, the Standing Committee of the PRC National People’s Congress published the Data Security Law of the People’s Republic of China (the Data Security Law), which took effect on September 1, 2021. The Data Security Law requires data processing (which includes the collection, storage, use, processing, transmission, provision and publication of data), to be conducted in a legitimate and proper manner. The Data Security Law imposes data security and privacy obligations on entities and individuals carrying out data processing activities and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Also in China, on August 20, 2021, the Standing Committee of the National People’s Congress of the PRC promulgated the Personal Information Protection Law, which took effect on November 1, 2021. The Personal Information Protection Law raises the protection requirements for processing personal information, and many specific requirements of the Personal Information Protection Law remain to be clarified. We may be required to make further significant adjustments to our business practices to comply with the personal information protection laws and regulations in China including the Personal Information Protection Law. Any failure, or perceived failure, by us to comply with such policies, laws, regulations, and other legal obligations and regulatory guidance could adversely affect our reputation, brand, and business, and may result in claims, proceedings, or actions, including criminal proceedings, against us and certain of our executive officers by governmental entities or others or other liabilities. Any such claim, proceeding, or action, could hurt our reputation, brand, and business, force us to incur significant expenses in defense of such proceedings, distract our management, increase our costs of doing business, result in a loss of customers and merchants, and could have an adverse effect on our business, financial condition, and results of operations.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Data Security Law and Personal Information Protection Law impose restrictions on cross-border transfers of personal information and certain “important” information that could impact our business practices. In addition, regulators have issued new and updated regulatory measures focused on data security and cross-border data flows, and increased their enforcement activity pursuant to such laws. Certain industry-specific laws and regulations relate to the collection and transfer of data. For example, the HGR Regulation and the Biosecurity Law stipulate that foreign organizations, individuals, and the entities established or actually controlled by foreign organizations or individuals are forbidden to collect, preserve and export China’s human genetic resources. These laws, combined with increasing focus on cross-border transfers of sensitive US data to China and other countries may increasingly complicate our business operations.</w:t>
      </w:r>
    </w:p>
    <w:p>
      <w:pPr>
        <w:spacing w:after="0" w:line="1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191"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Changes to patent law in the United States and in foreign jurisdictions could diminish the value of patents in general, thereby impairing our ability to protect our products.</w:t>
      </w:r>
    </w:p>
    <w:p>
      <w:pPr>
        <w:spacing w:after="0" w:line="14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might obtain in the future. For example, in the case </w:t>
      </w:r>
      <w:r>
        <w:rPr>
          <w:rFonts w:ascii="Times New Roman" w:cs="Times New Roman" w:eastAsia="Times New Roman" w:hAnsi="Times New Roman"/>
          <w:sz w:val="20"/>
          <w:szCs w:val="20"/>
          <w:i w:val="1"/>
          <w:iCs w:val="1"/>
          <w:color w:val="auto"/>
        </w:rPr>
        <w:t>Assoc. for Molecular Pathology v. Myriad Genetics, Inc.,</w:t>
      </w:r>
      <w:r>
        <w:rPr>
          <w:rFonts w:ascii="Times New Roman" w:cs="Times New Roman" w:eastAsia="Times New Roman" w:hAnsi="Times New Roman"/>
          <w:sz w:val="20"/>
          <w:szCs w:val="20"/>
          <w:color w:val="auto"/>
        </w:rPr>
        <w:t xml:space="preserve"> the U.S. Supreme Court held that certain claims to DNA molecules are not patentable. Any adverse changes in the patent laws of other jurisdictions could have a material adverse effect on our business and financial condition. Changes in the laws and regulations governing patents in other jurisdictions could similarly have an adverse effect on our ability to obtain and effectively enforce any rights we may have in our patent applications or any patents we may own or in-license in the future.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 xml:space="preserve">Recent or future patent reform legislation could also increase the uncertainties and costs surrounding the prosecution of our patent applications and the enforcement or defense of any patents we may own or in-license in the future. The United States has enacted and implemented wide-ranging patent reform legislation. On September 16, 2011, the Leahy-Smith America Invents Act, or America Invents Act, was signed into law, which includes a number of significant changes to U.S. patent law. These include provisions that affect the way patent applications are prosecuted, redefine prior art, may affect patent litigation, establish a new post-grant review system and switch the U.S. patent system from a “first-to-invent” system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Since patent applications in the United States and most other countries are confidential for a period of time after filing or until issuance, we cannot be certain that we were the first to either (i) file any patent application related to our product candidates or other technologies or (ii) invent any of the inventions claimed in our patent applications or any patents we may own or in-license. These changes also allow third 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9"/>
          <w:szCs w:val="19"/>
          <w:i w:val="1"/>
          <w:iCs w:val="1"/>
          <w:color w:val="auto"/>
        </w:rPr>
        <w:t>inter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partes </w:t>
      </w:r>
      <w:r>
        <w:rPr>
          <w:rFonts w:ascii="Times New Roman" w:cs="Times New Roman" w:eastAsia="Times New Roman" w:hAnsi="Times New Roman"/>
          <w:sz w:val="19"/>
          <w:szCs w:val="19"/>
          <w:color w:val="auto"/>
        </w:rPr>
        <w:t>review, and derivation proceedings. Because of a lower evidentiary standard in USPTO proceedings compared to the evidentiary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 party as a defendant in a district court action.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Accordingly, the America Invents Act and its implementation could increase the uncertainties and costs surrounding the prosecution of our patent applications and the enforcement or defense of any issued patents we may own or in-license in the future, all of which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 could adversely affect our business and financial condition.</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rules dealing with U.S. federal, state, and local and non-U.S. taxation are constantly under review by persons involved in the legislative process and by the Internal Revenue Service and the U.S. Treasury Department. For example, the OBBB Act was signed into law on July 4, 2025 and made significant changes to U.S. federal tax law. Changes to tax laws, tax rulings, or changes in interpretations of existing laws (which changes may have retroactive application) could adversely affect us or holders of our common stock. These changes could subject us to additional income-based taxes and non-income taxes (such as payroll, sales, use, value-added, net worth, property, and goods and services taxes), which in turn could materially affect our financial position and results of operations. In recent years, many such changes have been made and changes are likely to continue to occur in the future. For example, under Section 174 the IRC, in taxable years beginning after December 31, 2021, expenses that are incurred for research and development performed outside the U.S. will be capitalized and amortized, which may have an adverse effect on our cash flow. The OBBB Act provides that for taxable years beginning after December 31, 2024, expenses that are incurred for research and development performed in the U.S. may, at the taxpayer’s election, be immediately deducted or capitalized and amortized. In addition, the OBBB Act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 In the third quarter of 2025, we evaluated the impact of the enacted tax law and noted that it had an immaterial impact on our forecasted annual effective tax rate for the period. However,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78"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20"/>
          <w:szCs w:val="20"/>
          <w:b w:val="1"/>
          <w:bCs w:val="1"/>
          <w:i w:val="1"/>
          <w:iCs w:val="1"/>
          <w:color w:val="auto"/>
        </w:rPr>
        <w:t>Conditions in the banking system and financial markets, including the failure of banks and financial institutions, could have an adverse effect on our operations and financial results.</w:t>
      </w:r>
    </w:p>
    <w:p>
      <w:pPr>
        <w:spacing w:after="0" w:line="142"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19"/>
          <w:szCs w:val="19"/>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45"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We are unable to predict the extent or nature of the impacts of evolving circumstances in the financial services industry at this time. If, for example, certain banks and financial institutions enter receivership or become insolvent in the future in response to financial conditions affecting the banking system and financial markets, our ability to access our existing cash, cash equivalents and investments may be threatened. While it is not possible at this time to predict the extent of the impact that high market volatility and instability of the banking sector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75" w:lineRule="exact"/>
        <w:rPr>
          <w:sz w:val="20"/>
          <w:szCs w:val="20"/>
          <w:color w:val="auto"/>
        </w:rPr>
      </w:pPr>
    </w:p>
    <w:p>
      <w:pPr>
        <w:jc w:val="both"/>
        <w:ind w:right="620"/>
        <w:spacing w:after="0" w:line="315" w:lineRule="auto"/>
        <w:rPr>
          <w:sz w:val="20"/>
          <w:szCs w:val="20"/>
          <w:color w:val="auto"/>
        </w:rPr>
      </w:pPr>
      <w:r>
        <w:rPr>
          <w:rFonts w:ascii="Times New Roman" w:cs="Times New Roman" w:eastAsia="Times New Roman" w:hAnsi="Times New Roman"/>
          <w:sz w:val="19"/>
          <w:szCs w:val="19"/>
          <w:b w:val="1"/>
          <w:bCs w:val="1"/>
          <w:i w:val="1"/>
          <w:iCs w:val="1"/>
          <w:color w:val="auto"/>
        </w:rPr>
        <w:t>A decline in the federal budget, changes in spending or budgetary priorities of the U.S. government, a prolonged U.S. government shutdown or delays in contract awards may significantly and adversely affect our future revenues, cash flow and financial results.</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In recent years, U.S. government appropriations have been affected by larger U.S. government budgetary issues and related legislation. As a result, the Department of Defense funding levels have fluctuated and have been difficult to predict. Future spending levels are subject to a wide range of factors, including Congressional action. In addition, in the past, U.S. debt ceiling and budget deficit concerns have increased the possibility of additional credit-rating downgrades and economic slowdowns, or a recession in the U.S. Although U.S. lawmakers passed legislation to raise the federal debt ceiling on multiple occasions, ratings agencies have lowered or threatened to lower the long-term sovereign credit rating on the U.S. The impact of this or any further downgrades to the U.S. government’s sovereign credit rating or its perceived creditworthiness could adversely affect the U.S. and global financial markets and economic conditions.</w:t>
      </w:r>
    </w:p>
    <w:p>
      <w:pPr>
        <w:spacing w:after="0" w:line="1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As a result, government spending levels are difficult to predict beyond the near term due to numerous factors, including the external threat environment, future government priorities and the state of government finances. Significant changes in government spending or changes in U.S. government priorities, policies and requirements could have a material adverse effect on our results of operations, financial condition or liquidity.</w:t>
      </w:r>
    </w:p>
    <w:p>
      <w:pPr>
        <w:spacing w:after="0" w:line="182"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U.S. Congress, the Trump administration, or any new administration may make substantial changes to fiscal, tax, and other federal policies that may adversely affect our business.</w:t>
      </w:r>
    </w:p>
    <w:p>
      <w:pPr>
        <w:spacing w:after="0" w:line="16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Since the start of the Trump Administration in 2025, U.S. policy changes have been implemented at a rapid pace and additional changes are likely. For example, the U.S. government has adopted new approaches to trade policy and in some cases may renegotiate, or potentially terminate, certain existing bilateral or multi-lateral trade agreements. The U.S. government has also imposed substantial tariffs on most countries throughout the world and has further threatened to continue to broadly impose tariffs, which could lead to corresponding punitive actions by the countries with which the U.S. trades. While certain tariffs have been suspended, modified or temporarily reduced, we cannot predict the results of the U.S. government’s trade negotiations or the outcome of ongoing legal challenges to specific tariff policies. For example, in February 2026, the U.S. Supreme Court struck down certain tariffs previously imposed by the U.S. government, but the Trump Administration has expressed an intention to reinstate and in certain cases increase tariffs in response. The timing, scope, duration, and potential exemptions associated with these new tariffs remain subject to further administrative action and clarification.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cybersecurity</w:t>
      </w:r>
    </w:p>
    <w:p>
      <w:pPr>
        <w:spacing w:after="0" w:line="21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adequately protect our information systems from cyberattacks, cybersecurity incidents, or compromises, which could result in the disclosure of confidential or proprietary information, including personal data, damage our reputation, and subject us to significant financial and legal exposure.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rely on information technology systems that we or our third-party providers operate to process, transmit and store electronic information in our day-to-day operations. In connection with our product development efforts, we may collect and use a variety of personal data, such as name, mailing address, email addresses, phone number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including new attack methods and vectors facilitated or enhanced by use of artificial intelligence. Cyberattacks could include wrongful conduct by hostile foreign governments, industrial espionage, wire fraud and other forms of cyber fraud, the deployment of harmful malware, denial-of-service, social engineering fraud (including phishing attacks)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or other cybersecurity incidents that would result in business, legal, financial or reputational harm to us, or would have a material adverse effect on our results of operations and financial condition. Like other companies in our industry, we, and our third party vendors, have experienced, and will continue to experience, cybersecurity threats and incidents relating to our information technology systems and infrastructure. Any failure to prevent or mitigate cybersecurity breaches, other cybersecurity incidents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92"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9"/>
          <w:szCs w:val="19"/>
          <w:color w:val="auto"/>
        </w:rPr>
        <w:t>Some cyber security incidents may be very difficult to prevent. For example, supply chain incidents involving previously unknown vulnerabilities in widely-used software are becoming increasingly common. While we are not currently aware of any impact from supply chain vulnerabilities, there is residual risk that we may experience cybersecurity threats from such supply chain vulnerabilities in the future.</w:t>
      </w:r>
    </w:p>
    <w:p>
      <w:pPr>
        <w:spacing w:after="0" w:line="16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 use of new and evolving technologies, such as artificial intelligence and machine learning, in our operations, and the operations of third parties upon which we rely, presents new risks and challenges that could negatively impact our business, including cybersecurity, data privacy, IT, intellectual property, regulatory, legal, operational, competitive, reputational, and other risks and challenges.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Additionally, use of generative AI models in our internal or third-party systems may create new attack surfaces or methods for adversaries, which could impact us and our vendors. The integration of AI systems, by us or by our vendors, may increase cybersecurity risk that implicates personal information of customers or patients. Any cybersecurity incidents or data breaches related to our use of AI could adversely affect our reputation and results of operations.</w:t>
      </w:r>
    </w:p>
    <w:p>
      <w:pPr>
        <w:spacing w:after="0" w:line="17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Further, while we maintain insurance coverage, we cannot assure that such coverage will be adequate or otherwise protect us from or adequately mitigate liabilities or damages with respect to claims, costs, expenses, litigation, fines, penalties, business loss, data loss, regulatory actions or material adverse effects arising out of our privacy and cybersecurity practices, or that such coverage will continue to be available on acceptable terms or at all. The market for cyber insurance is tightening, and coverage for ransomware, data breaches and other cybersecurity incidents may be reduced or eliminated.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In addition, the computer systems of various third parties on which we rely, including our CROs and other contractors, consultants and law and accounting firms, may sustain damage from computer viruses, unauthorized access, data breaches, phishing attacks, cybercriminals, malicious uses of artificial intelligence, natural disasters (including hurricanes and earthquakes), terrorism, war and telecommunication and electrical failures. We rely on our third-party providers to implement effective cybersecurity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including the costs of potential data breach notification obligations, any of which could have a material adverse effect on our business, results of operations, financial condition, prospects and cash flows. Any failure by such third parties to prevent or mitigate cybersecurity breaches or other cybersecurity incidents or improper access to or disclosure of such information could have similarly adverse consequences for us. If we are unable to prevent or mitigate the impact of such cybersecurity or data privacy breaches or other cybersecurity incidents, we could be exposed to litigation and governmental investigations, which could lead to a potential disruption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Governance Related to Cybersecurity Risks</w:t>
      </w:r>
    </w:p>
    <w:p>
      <w:pPr>
        <w:spacing w:after="0" w:line="229" w:lineRule="exact"/>
        <w:rPr>
          <w:sz w:val="20"/>
          <w:szCs w:val="20"/>
          <w:color w:val="auto"/>
        </w:rPr>
      </w:pPr>
    </w:p>
    <w:p>
      <w:pPr>
        <w:ind w:right="460"/>
        <w:spacing w:after="0" w:line="254" w:lineRule="auto"/>
        <w:rPr>
          <w:sz w:val="20"/>
          <w:szCs w:val="20"/>
          <w:color w:val="auto"/>
        </w:rPr>
      </w:pPr>
      <w:r>
        <w:rPr>
          <w:rFonts w:ascii="Times New Roman" w:cs="Times New Roman" w:eastAsia="Times New Roman" w:hAnsi="Times New Roman"/>
          <w:sz w:val="20"/>
          <w:szCs w:val="20"/>
          <w:color w:val="auto"/>
        </w:rPr>
        <w:t>Our board of directors has overall oversight responsibility for our risk management, and delegates its oversight of risk assessment and management guidelines to the audit committee of the board of directors. Members of the audit committee receive periodic updates from senior management regarding matters of cybersecurity. These discussions may include updates on management’s efforts to address and mitigate cybersecurity risks, cybersecurity incidents (if any), and the status of key information security initiatives.</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Under the oversight of our Chief Executive Officer (CEO) and executive management team, we have constituted an Information Technology (IT) Steering Committee that has primary responsibility for overseeing our management of cybersecurity risks. The IT Steering Committee is chaired by our Chief Operating Officer and General Counsel, supported by an external IT consultant who operates as our Head of Information Technology (Head of IT) and an external cybersecurity firm. Other members of the IT Steering Committee include representatives from clinical development, technical operations, finance, human resources, business operations and legal.</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Head of IT, working with our third-party cybersecurity firm, Chief Operating Officer and General Counsel, and the IT Steering Committee, assesses and manages our cybersecurity threat management processes. Our Head of IT has 35 years of information technology experience, building and leading teams in the pharmaceutical and biotechnology industries, and has worked with a variety of institutions to implement, manage, and scale the information technology function, including cybersecurity programs. These entities have included publicly-traded companies and smaller startups. His experience also includes developing and maintaining tools and processes to protect internal networks, research and clinical databases, and supplier payment information and financial systems.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IT Steering Committee meets as circumstances warrant, to discuss and monitor prevention, detection, mitigation and remediation of risks from cybersecurity threats. The Head of IT provides updates to the Chief Operating Officer and General Counsel who communicates with the executive management team, and, as needed, the Audit Committee, on cybersecurity developments.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In addition, our IT Security Team is responsible for reviewing the results of our cybersecurity assessments and related cybersecurity strategies as well as emerging threats in the cybersecurity landscape. The IT Security Team meets regularly and includes members from our cybersecurity firm and internal IT team.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Cyber Risk Management and Strategy</w:t>
      </w:r>
    </w:p>
    <w:p>
      <w:pPr>
        <w:spacing w:after="0" w:line="216"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0"/>
          <w:szCs w:val="20"/>
          <w:color w:val="auto"/>
        </w:rPr>
        <w:t>Under the guidance of the IT Steering Committee, Chief Operating Officer and General Counsel, and Head of IT, we have adopted cybersecurity risk management processes that are designed to address the identification of assets potentially at risk from cybersecurity threats, identification of potential sources of cybersecurity threats, assessment of protections to address cybersecurity threats, and the management of cybersecurity risks.</w:t>
      </w:r>
    </w:p>
    <w:p>
      <w:pPr>
        <w:spacing w:after="0" w:line="186"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Under the direction of our Chief Operating Officer and General Counsel, working with our Head of IT, we have engaged a third-party cybersecurity firm, which provides cybersecurity support services for governance and security operations. Our cybersecurity firm is responsible for monitoring our information systems and implementing procedures to mitigate cyber risks. The cybersecurity firm keeps the Company apprised of threats in the cybersecurity landscape through various means, including through threat intelligence and research sources, discussions with industry peers, security alerts, and security conferences and events, as appropriate.</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The cybersecurity firm also manages our network monitoring, designed to identify potential security risks, and conducts regular testing, scanning, and other vulnerability analyses. We have also implemented a process to require employees to complete a cybersecurity education program upon onboarding, and all employees complete periodic cybersecurity simulations that are designed to raise awareness of cybersecurity threats and risks.</w:t>
      </w:r>
    </w:p>
    <w:p>
      <w:pPr>
        <w:spacing w:after="0" w:line="1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We have a process to review security features for adherence to applicable regulatory requirements and financial controls before purchasing certain third party technology or other solutions that involve exposure to the Company’s assets or electronic information. From time to time, after the technology is in place, we may also conduct periodic reviews of available security documentation such as audit reporting and certifications.</w:t>
      </w:r>
    </w:p>
    <w:p>
      <w:pPr>
        <w:spacing w:after="0" w:line="17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Although, as of the date of this Annual Report, risks from cybersecurity threats have not materially affected, and we do not believe they are reasonably likely to materially affect us, our business strategy, results of operations or financial condition, we could, from time to time, experience threats and security incidents relating to our and our third party vendors’ information systems. For more information, please see the section entitled “Item 1A. Risk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20" w:lineRule="exact"/>
        <w:rPr>
          <w:sz w:val="20"/>
          <w:szCs w:val="20"/>
          <w:color w:val="auto"/>
        </w:rPr>
      </w:pPr>
    </w:p>
    <w:p>
      <w:pPr>
        <w:ind w:right="340"/>
        <w:spacing w:after="0" w:line="283" w:lineRule="auto"/>
        <w:rPr>
          <w:sz w:val="20"/>
          <w:szCs w:val="20"/>
          <w:color w:val="auto"/>
        </w:rPr>
      </w:pPr>
      <w:r>
        <w:rPr>
          <w:rFonts w:ascii="Times New Roman" w:cs="Times New Roman" w:eastAsia="Times New Roman" w:hAnsi="Times New Roman"/>
          <w:sz w:val="20"/>
          <w:szCs w:val="20"/>
          <w:color w:val="auto"/>
        </w:rPr>
        <w:t>We lease office space for our principal office on a month-to-month basis, which is located at 245 First Street, 18th Floor, Cambridge, MA 02142.</w:t>
      </w:r>
    </w:p>
    <w:p>
      <w:pPr>
        <w:spacing w:after="0" w:line="160"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20"/>
          <w:szCs w:val="20"/>
          <w:color w:val="auto"/>
        </w:rPr>
        <w:t>We lease a facility containing approximately 25,578 square feet of office space, which is located at One Main Street, Cambridge, MA 02142. The lease expires on August 31, 2028, subject to an option to extend the lease for five additional years. In December 2022, we entered into a sublease for one floor, approximately 14,439 square feet, of our Cambridge, MA office space, which also terminates on August 31, 2028. In December 2025, we entered into a sublease for the other floor, approximately 11,139 square feet, of our Cambridge, MA office space, which also terminates on August 31, 2028.</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also lease approximately 18,120 square feet of office and laboratory space at 430 East 29th Street, New York, New York 10016. The lease expires on August 30, 2032, subject to an option to extend the lease for five additional years. In June 2024, we entered into a sublease for our office and laboratory space in New York, NY. The sublease terminates on June 30, 2026. We believe that our current facilities are sufficient to meet our current and near term needs.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We are not currently aware of any such proceedings or claims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0" w:right="5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Certain Information Regarding the Trading of Our Common Stock</w:t>
      </w:r>
    </w:p>
    <w:p>
      <w:pPr>
        <w:spacing w:after="0" w:line="233"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Our common stock trades under the symbol “BDTX” on the Nasdaq Global Select Market and has been publicly traded since January 30, 2020. Prior to this time, there was no public market for our common stock.</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Our Common Stock</w:t>
      </w:r>
    </w:p>
    <w:p>
      <w:pPr>
        <w:spacing w:after="0" w:line="233" w:lineRule="exact"/>
        <w:rPr>
          <w:sz w:val="20"/>
          <w:szCs w:val="20"/>
          <w:color w:val="auto"/>
        </w:rPr>
      </w:pPr>
    </w:p>
    <w:p>
      <w:pPr>
        <w:ind w:right="760"/>
        <w:spacing w:after="0" w:line="269" w:lineRule="auto"/>
        <w:rPr>
          <w:sz w:val="20"/>
          <w:szCs w:val="20"/>
          <w:color w:val="auto"/>
        </w:rPr>
      </w:pPr>
      <w:r>
        <w:rPr>
          <w:rFonts w:ascii="Times New Roman" w:cs="Times New Roman" w:eastAsia="Times New Roman" w:hAnsi="Times New Roman"/>
          <w:sz w:val="20"/>
          <w:szCs w:val="20"/>
          <w:color w:val="auto"/>
        </w:rPr>
        <w:t>As of March 16, 2026, there were approximately 24 holders of record of shares of our common stock. This number does not include stockholders for whom shares are held in “nominee” or “street” name.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2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9"/>
          <w:szCs w:val="19"/>
          <w:color w:val="auto"/>
        </w:rPr>
        <w:t>We have never declared or paid any cash dividends on our capital stock. We currently intend to retain any future earnings to fund the development and expansion of our business, and therefore we do not anticipate paying cash dividends on our common stock in the foreseeable future. Any future determination to pay dividends will be at the discretion of our board of directors and will depend on our results of operations, financial condition, capital requirements, contractual restrictions and other factors deemed relevant by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20"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The information required by Item 5 of Form 10-K regarding equity compensation plans is incorporated herein by reference to Item 12 of Part III of this Annual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Purchases of Equity Securities by the Issuer and Affiliated Purchasers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purchase any of our registered equity securities during the period covered by this Annual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i w:val="1"/>
          <w:iCs w:val="1"/>
          <w:color w:val="auto"/>
        </w:rPr>
        <w:t>The following discussion and analysis should be read in conjunction with our audited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are a clinical-stage oncology company developing MasterKey therapies that target families of oncogenic mutations in patients with cancer. The foundation of our company is built upon a deep understanding of cancer genetics, onco-protein structure and function, and medicinal chemistry. Our MasterKey therapies are designed to address a broad spectrum of genetically defined tumors, overcome resistance, minimize wild-type mediated toxicities, and be brain-penetrant to treat central nervous system (CNS) disease. Our compounds target families of oncogenic mutations in clinically validated pathways. Our lead clinical-stage program, silevertinib (formerly BDTX-1535), is a brain-penetrant, fourth-generation epidermal growth factor receptor (EGFR) MasterKey inhibitor targeting epidermal growth factor receptor mutant (EGFRm) non-small cell lung cancer (NSCLC) and glioblastoma (GBM). We are advancing a Phase 2 trial in NSCLC patients and plan to initiate a randomized Phase 2 trial of silevertinib in newly diagnosed patients with EGFR altered glioblastoma (GBM) in the second quarter of 2026.</w:t>
      </w:r>
    </w:p>
    <w:p>
      <w:pPr>
        <w:spacing w:after="0" w:line="176"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0"/>
          <w:szCs w:val="20"/>
          <w:color w:val="auto"/>
        </w:rPr>
        <w:t>We believe that our clinical-stage lead product candidate, silevertinib, has the potential to treat newly diagnosed patients with EGFRm NSCLC, as well as those with recurrent disease, based upon silevertinib’s ability to address greater than 50 classical and non-classical oncogenic driver mutations with greater potency than other EGFR tyrosine kinase inhibitors (TKIs), as well as uniquely target the C797S resistance mutation which can be acquired after treatment with osimertinib. Silevertinib was shown to be well tolerated and achieve durable clinical responses in our Phase 1 trial in patients with recurrent EGFRm NSCLC whose tumors expressed a range of mutation subtypes, including the acquired C797S resistance mutation and a broad spectrum of non-classical mutations. Initial data from a Phase 2 trial of 83 patients with EGFRm NSCLC in the second- and third-line settings demonstrated encouraging clinical responses, robust EGFRm target coverage, a favorable tolerability profile with no new safety signals observed, and durability of silevertinib.</w:t>
      </w:r>
    </w:p>
    <w:p>
      <w:pPr>
        <w:spacing w:after="0" w:line="19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We are currently evaluating silevertinib in a Phase 2 clinical trial in the first-line setting in patients with EGFRm NSCLC harboring non-classical EGFR mutations and in the fourth quarter of 2025, we announced initial data from our Phase 2 trial of 43 frontline NSCLC patients harboring a broad spectrum of 35 distinct non-classical EGFR mutations, including 16 patients with brain metastases (7 of whom had measurable CNS target lesions). All patients were enrolled at a 200mg oral daily dose of silevertinib. Efficacy and safety were assessed with a November 3, 2025 data cutoff and median follow-up time as of this date was 7.2 months, the study is fully enrolled and remains ongoing. The initial data from this trial was encouraging with 25 confirmed partial responses and 1 confirmed complete response equating to a 60% Objective Response Rate (ORR by RECIST 1.1). CNS ORR (by RANO-BM) was 86% and the disease control rate (DCR) was 91%. No new safety signals were observed. Adverse events (AEs) experienced by a majority of patients include rash, stomatitis, diarrhea and paronychia and were managed with standard supportive care and dose interruptions or reductions without compromising response depth or durability. As of the November 3, 2025 data cutoff, 29 patients remained on therapy (5 of 29 after progression) with one patient having been on therapy for more than 19 months. We plan to present updated results from the Phase 2 NSCLC trial, including preliminary duration of response (DOR) and progression-free survival (PFS) data in the frontline setting (43 patients) as well as updated clinical results in the recurrent setting (83 patients), at a medical meeting in the second quarter of 2026.</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Silevertinib has demonstrated encouraging CNS activity in multiple trials across NSCLC and GBM. In our Phase 2 in frontline patients with EGFRm NSCLC 86% of patients achieved a confirmed CNS response. The results from our Phase 1 trial of silevertinib in patients with relapsed/recurrent GBM (presented at ASCO in 2024) showed encouraging duration of treatment and clinical activity, and a tolerability profile consistent with the initial safety data seen in patients with recurrent NSCLC. A Phase 0/1 “window of opportunity” study sponsored by the Ivy Brain Tumor Center in Phoenix, Arizona in patients with recurrent high-grade glioma (HGG) with EGFR alterations and/or fusions at initial diagnosis demonstrated that silevertinib exceeded the pre-specified threshold for drug concentration in the brain tumor tissue and was generally well tolerated. It also showed that silevertinib penetrates non-contrast enhancing regions of glioblastoma and suppresses EGFR signaling in patient tumors. Based on these data and together with the robust CNS ORR demonstrated by silevertinib to date in our Phase 2 trial in frontline EGFRm NSCLC patents, we believe that silevertinib is uniquely positioned as a potential treatment for patients with newly diagnosed EGFR-altered GBM. Following feedback on the study design received from the FDA in January 2026, we are preparing to initiate a randomized Phase 2 trial in this patient population in the second quarter of 2026. After a combination safety lead-in of silevertinib plus temozolomide (TMZ), the trial is expected to enroll approximately 150 newly diagnosed patients, randomized to receive TMZ (as the control arm) or silevertinib plus TMZ (as the experimental arm). The eligible patient population will be on EGFRvIII-positive patients (approximately 30% of GBM patients) who are O-6-methylguanine-DNA methyltransferase (MGMT) -negative (unmethylated). Randomization and treatment will begin after patients have had surgical resection and radiation and are eligible for maintenance TMZ. The primary endpoint of the trial will be PFS (RANO by blinded independent committee review, or BICR), with a planned futility analysis, and an interim PFS analysis anticipated in the first half 2028. The secondary endpoint of the trial will be overall survival (OS). The trial will be governed by an independent data monitoring committee (IDMC).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also continuing to explore potential partnership opportunities to advance silevertinib into pivotal development.</w:t>
      </w:r>
    </w:p>
    <w:p>
      <w:pPr>
        <w:spacing w:after="0" w:line="21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Our second clinical-stage asset, BDTX-4933 (also known as S241656), was outlicensed to Servier Pharmaceuticals LLC (Servier) in the first quarter of 2025. Pursuant to the license agreement, we granted to Servier a global license to develop and commercialize BDTX-4933. Under the terms of the license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 See Note 15, </w:t>
      </w:r>
      <w:r>
        <w:rPr>
          <w:rFonts w:ascii="Times New Roman" w:cs="Times New Roman" w:eastAsia="Times New Roman" w:hAnsi="Times New Roman"/>
          <w:sz w:val="21"/>
          <w:szCs w:val="21"/>
          <w:i w:val="1"/>
          <w:iCs w:val="1"/>
          <w:color w:val="auto"/>
        </w:rPr>
        <w:t>License Revenue</w:t>
      </w:r>
      <w:r>
        <w:rPr>
          <w:rFonts w:ascii="Times New Roman" w:cs="Times New Roman" w:eastAsia="Times New Roman" w:hAnsi="Times New Roman"/>
          <w:sz w:val="20"/>
          <w:szCs w:val="20"/>
          <w:color w:val="auto"/>
        </w:rPr>
        <w:t>, to the consolidated financial statements included elsewhere in this Annual Report for additional information.</w:t>
      </w:r>
    </w:p>
    <w:p>
      <w:pPr>
        <w:spacing w:after="0" w:line="17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Since our inception in 2014, we have devoted substantially all of our efforts and financial resources to organizing and staffing our company, business planning, raising capital, discovering product candidates and securing related intellectual property rights while conducting research and development activities for our programs. We do not have any products approved for sale and have not generated any revenue from product sales. We may never be able to develop or commercialize a marketable product. We have not yet successfully completed any pivotal clinical trials, obtained any regulatory marketing approvals, manufactured a commercial-scale drug, or conducted sales and marketing activities.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To date, we have funded our operations with proceeds from the sale of common stock and preferred stock. Since inception, we have incurred significant operating losses. Our net income was $22.4 million and our net loss was $69.7 million for the years ended December 31, 2025 and 2024, respectively. As of December 31, 2025, we had an accumulated deficit of $464.7 million. Our ability to generate product revenue sufficient to achieve profitability will depend heavily on the successful development and eventual commercialization of our current or future product candidates. We expect that our expenses and capital requirements will increase substantially in connection with our ongoing activities, particularly if and as we:</w:t>
      </w:r>
    </w:p>
    <w:p>
      <w:pPr>
        <w:spacing w:after="0" w:line="84" w:lineRule="exact"/>
        <w:rPr>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clinical development of silevertinib;</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expand, enforce and protect our intellectual property portfolio;</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320" w:hanging="328"/>
        <w:spacing w:after="0" w:line="283" w:lineRule="auto"/>
        <w:tabs>
          <w:tab w:leader="none" w:pos="648"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existing collaborations or strategic relationships and identify and enter into future license agreements and collaborations with third parties;</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attract and retain key clinical, scientific, management and commercial personnel;</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marketing approvals for our product candidates that successfully complete clinical trials, if any;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or in-license additional product candidates.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and licensing arrangements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and reduce headcount and general and administrative costs.</w:t>
      </w:r>
    </w:p>
    <w:p>
      <w:pPr>
        <w:spacing w:after="0" w:line="1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Additionally, we continue to actively monitor macroeconomic conditions and market volatility resulting from global and national economic developments, political unrest, new or increased international tariffs and retaliatory tariffs, high inflation, disruptions in capital markets, changes in international trade relationships, changes in U.S. governmental agencies, new laws and regulations or amendments to existing laws and regulations in the U.S. and foreign countries, and military conflicts. While we believe such factors have had no significant impact on our business or financial results during the periods presented, future developments and potential impacts on our business are uncertain and cannot be predicted with confidence.</w:t>
      </w:r>
    </w:p>
    <w:p>
      <w:pPr>
        <w:spacing w:after="0" w:line="19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As of December 31, 2025, we had cash, cash equivalents and investments of $128.7 million, which we believe will enable us to fund our operating expenses and capital expenditure requirements into the second half of 2028. We have based this estimate on assumptions that may prove to be wrong, and we could exhaust our available capital resources sooner than we expect. See “—</w:t>
      </w:r>
      <w:r>
        <w:rPr>
          <w:rFonts w:ascii="Times New Roman" w:cs="Times New Roman" w:eastAsia="Times New Roman" w:hAnsi="Times New Roman"/>
          <w:sz w:val="20"/>
          <w:szCs w:val="20"/>
          <w:i w:val="1"/>
          <w:iCs w:val="1"/>
          <w:color w:val="auto"/>
        </w:rPr>
        <w:t>Liquidity and capital resources</w:t>
      </w:r>
      <w:r>
        <w:rPr>
          <w:rFonts w:ascii="Times New Roman" w:cs="Times New Roman" w:eastAsia="Times New Roman" w:hAnsi="Times New Roman"/>
          <w:sz w:val="20"/>
          <w:szCs w:val="20"/>
          <w:color w:val="auto"/>
        </w:rPr>
        <w:t>.” To finance our operations beyond that point, we will need to raise additional capital, which cannot be assured. If we are unable to raise additional capital in sufficient amounts or on terms acceptable to us, we may have to significantly delay, scale back or discontinue the development or commercialization of our product candidates or other research and development initiatives.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3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To date, we have not generated any product revenue and do not expect to generate any revenue from the sale of products for the foreseeable future. To date, we have generated revenue solely from licensing of intellectual property. If our development efforts for our product candidates are successful and result in regulatory approval, or if we enter into collaboration or license agreements with third parties, we may generate revenue in the future from a combination of product sales or payments from such collaboration or license agreements. However, there can be no assurance as to when we will generate such revenue, if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our research activities, including the development of our product candidates. We expense research and development costs as incurred, which include:</w:t>
      </w:r>
    </w:p>
    <w:p>
      <w:pPr>
        <w:spacing w:after="0" w:line="38" w:lineRule="exact"/>
        <w:rPr>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to conduct the necessary preclinical studies and clinical trials required to obtain regulatory approval;</w:t>
      </w:r>
    </w:p>
    <w:p>
      <w:pPr>
        <w:spacing w:after="0" w:line="121" w:lineRule="exact"/>
        <w:rPr>
          <w:rFonts w:ascii="Times New Roman" w:cs="Times New Roman" w:eastAsia="Times New Roman" w:hAnsi="Times New Roman"/>
          <w:sz w:val="20"/>
          <w:szCs w:val="20"/>
          <w:color w:val="auto"/>
        </w:rPr>
      </w:pPr>
    </w:p>
    <w:p>
      <w:pPr>
        <w:ind w:left="660" w:right="40" w:hanging="328"/>
        <w:spacing w:after="0" w:line="258"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expenses incurred under agreements with contract research organizations (CROs) that are primarily engaged in the oversight and conduct of our drug discovery efforts, preclinical studies, and clinical trials as well as under agreements with contract manufacturing organizations (CMOs) that are primarily engaged to provide preclinical and clinical drug substance and product for our research and development programs;</w:t>
      </w:r>
    </w:p>
    <w:p>
      <w:pPr>
        <w:spacing w:after="0" w:line="64" w:lineRule="exact"/>
        <w:rPr>
          <w:rFonts w:ascii="Times New Roman" w:cs="Times New Roman" w:eastAsia="Times New Roman" w:hAnsi="Times New Roman"/>
          <w:sz w:val="20"/>
          <w:szCs w:val="20"/>
          <w:color w:val="auto"/>
        </w:rPr>
      </w:pPr>
    </w:p>
    <w:p>
      <w:pPr>
        <w:ind w:left="660" w:right="260" w:hanging="328"/>
        <w:spacing w:after="0" w:line="261"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costs related to the conduct of preclinical studies, and clinical trials, including acquiring and manufacturing materials, manufacturing validation batches, fees to investigative sites and consultants that conduct our clinical trials, preclinical studies and other scientific development support services;</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made in cash or equity securities under third-party licensing, acquisition and option agreements;</w:t>
      </w:r>
    </w:p>
    <w:p>
      <w:pPr>
        <w:spacing w:after="0" w:line="121" w:lineRule="exact"/>
        <w:rPr>
          <w:rFonts w:ascii="Times New Roman" w:cs="Times New Roman" w:eastAsia="Times New Roman" w:hAnsi="Times New Roman"/>
          <w:sz w:val="20"/>
          <w:szCs w:val="20"/>
          <w:color w:val="auto"/>
        </w:rPr>
      </w:pPr>
    </w:p>
    <w:p>
      <w:pPr>
        <w:ind w:left="660" w:right="120" w:hanging="328"/>
        <w:spacing w:after="0" w:line="269" w:lineRule="auto"/>
        <w:tabs>
          <w:tab w:leader="none" w:pos="648"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employee-related expenses, including salaries and benefits, travel and stock-based compensation expense for employees engaged in research and development functions;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compliance with regulatory requirements; and</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allocated facilities-related costs, depreciation and other expenses, which include rent and utilities.</w:t>
      </w:r>
    </w:p>
    <w:p>
      <w:pPr>
        <w:spacing w:after="0" w:line="22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We recognize external development costs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Any nonrefundable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w:t>
      </w:r>
    </w:p>
    <w:p>
      <w:pPr>
        <w:spacing w:after="0" w:line="19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Our direct research and development expenses also include fees incurred under license, acquisition and option agreements. We do not allocate employee costs, costs associated with our development efforts, and facilities, including depreciation or other indirect costs, to specific programs because these costs are deployed across multiple programs and, as such, are not separately classified. We use internal resources primarily to conduct our research as well as for managing our preclinical development, process development, manufacturing and clinical development activities. These employees work across multiple programs and, therefore, we do not track their costs by program.</w:t>
      </w:r>
    </w:p>
    <w:p>
      <w:pPr>
        <w:spacing w:after="0" w:line="19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as we continue our clinical development of silevertinib. In addition, we may incur additional expenses related to milestone and royalty payments payable to third parties with whom we may enter into license, acquisition and option agreements to acquire the rights to future product candidates.</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At this time, we cannot reasonably estimate or know the nature, timing and costs of the efforts that will be necessary to complete the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78" w:lineRule="exact"/>
        <w:rPr>
          <w:sz w:val="20"/>
          <w:szCs w:val="20"/>
          <w:color w:val="auto"/>
        </w:rPr>
      </w:pPr>
    </w:p>
    <w:p>
      <w:pPr>
        <w:ind w:left="640" w:hanging="308"/>
        <w:spacing w:after="0"/>
        <w:tabs>
          <w:tab w:leader="none" w:pos="6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outcome and costs of our clinical trials and other development activities;</w:t>
      </w:r>
    </w:p>
    <w:p>
      <w:pPr>
        <w:sectPr>
          <w:pgSz w:w="11900" w:h="16838" w:orient="portrait"/>
          <w:cols w:equalWidth="0" w:num="1">
            <w:col w:w="11200"/>
          </w:cols>
          <w:pgMar w:left="320" w:top="360" w:right="37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patient enrollment in and the initiation and completion of clinical trials;</w:t>
      </w:r>
    </w:p>
    <w:p>
      <w:pPr>
        <w:spacing w:after="0" w:line="121" w:lineRule="exact"/>
        <w:rPr>
          <w:rFonts w:ascii="Times New Roman" w:cs="Times New Roman" w:eastAsia="Times New Roman" w:hAnsi="Times New Roman"/>
          <w:sz w:val="20"/>
          <w:szCs w:val="20"/>
          <w:color w:val="auto"/>
        </w:rPr>
      </w:pPr>
    </w:p>
    <w:p>
      <w:pPr>
        <w:ind w:left="660" w:right="380" w:hanging="328"/>
        <w:spacing w:after="0" w:line="269"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receipt and terms of any marketing approvals from applicable regulatory authorities including the FDA and non-U.S. regulators;</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any required post-marketing approval commitments to applicable regulatory authorities;</w:t>
      </w:r>
    </w:p>
    <w:p>
      <w:pPr>
        <w:spacing w:after="0" w:line="107" w:lineRule="exact"/>
        <w:rPr>
          <w:rFonts w:ascii="Times New Roman" w:cs="Times New Roman" w:eastAsia="Times New Roman" w:hAnsi="Times New Roman"/>
          <w:sz w:val="20"/>
          <w:szCs w:val="20"/>
          <w:color w:val="auto"/>
        </w:rPr>
      </w:pPr>
    </w:p>
    <w:p>
      <w:pPr>
        <w:ind w:left="660" w:right="160" w:hanging="328"/>
        <w:spacing w:after="0" w:line="283"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clinical and commercial manufacturing capabilities or making arrangements with third-party manufacturers in order to ensure that we or our third-party manufacturers are able to make product successfully;</w:t>
      </w:r>
    </w:p>
    <w:p>
      <w:pPr>
        <w:spacing w:after="0" w:line="51" w:lineRule="exact"/>
        <w:rPr>
          <w:rFonts w:ascii="Times New Roman" w:cs="Times New Roman" w:eastAsia="Times New Roman" w:hAnsi="Times New Roman"/>
          <w:sz w:val="20"/>
          <w:szCs w:val="20"/>
          <w:color w:val="auto"/>
        </w:rPr>
      </w:pPr>
    </w:p>
    <w:p>
      <w:pPr>
        <w:ind w:left="660" w:right="40" w:hanging="328"/>
        <w:spacing w:after="0" w:line="269"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 and timely delivery of clinical-grade and commercial-grade drug formulations that can be used in our clinical trials and for commercial launch;</w:t>
      </w:r>
    </w:p>
    <w:p>
      <w:pPr>
        <w:spacing w:after="0" w:line="64"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maintaining, defending and enforcing patent claims and other intellectual property rights;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and changing government regulation;</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our product candidates, if and when approved, whether alone or in collaboration with others; and</w:t>
      </w:r>
    </w:p>
    <w:p>
      <w:pPr>
        <w:spacing w:after="0" w:line="121" w:lineRule="exact"/>
        <w:rPr>
          <w:rFonts w:ascii="Times New Roman" w:cs="Times New Roman" w:eastAsia="Times New Roman" w:hAnsi="Times New Roman"/>
          <w:sz w:val="20"/>
          <w:szCs w:val="20"/>
          <w:color w:val="auto"/>
        </w:rPr>
      </w:pPr>
    </w:p>
    <w:p>
      <w:pPr>
        <w:ind w:left="660" w:right="840" w:hanging="328"/>
        <w:spacing w:after="0" w:line="269" w:lineRule="auto"/>
        <w:tabs>
          <w:tab w:leader="none" w:pos="64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tolerability profile of our product candidates following approval, if any, of our product candidates.</w:t>
      </w:r>
    </w:p>
    <w:p>
      <w:pPr>
        <w:spacing w:after="0" w:line="17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Any changes in the outcome of any of these variables with respect to the development of our product candidates could mean a significant change in the costs and timing associated with the development of these product candidates.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benefits, travel and stock-based compensation expense for personnel in executive, business development, finance, human resources, legal, information technology, pre-commercial and support personnel functions. General and administrative expenses also include direct and allocated facility-related costs as well as insurance costs and professional fees for legal, patent, consulting, investor and public relations, accounting and audit services.</w:t>
      </w:r>
    </w:p>
    <w:p>
      <w:pPr>
        <w:spacing w:after="0" w:line="186" w:lineRule="exact"/>
        <w:rPr>
          <w:sz w:val="20"/>
          <w:szCs w:val="20"/>
          <w:color w:val="auto"/>
        </w:rPr>
      </w:pPr>
    </w:p>
    <w:p>
      <w:pPr>
        <w:ind w:left="40" w:right="200"/>
        <w:spacing w:after="0" w:line="254"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increase in the future as we support continued development of our product candidates and prepare for potential commercialization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i w:val="1"/>
          <w:iCs w:val="1"/>
          <w:color w:val="auto"/>
        </w:rPr>
        <w:t>Impairment of right-of-use assets and property and equipment</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Impairment of right-of-use assets and property and equipment expenses consists of impairment losses relating to our operating leases.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233" w:lineRule="exact"/>
        <w:rPr>
          <w:sz w:val="20"/>
          <w:szCs w:val="20"/>
          <w:color w:val="auto"/>
        </w:rPr>
      </w:pPr>
    </w:p>
    <w:p>
      <w:pPr>
        <w:ind w:left="40" w:right="40"/>
        <w:spacing w:after="0" w:line="269" w:lineRule="auto"/>
        <w:rPr>
          <w:sz w:val="20"/>
          <w:szCs w:val="20"/>
          <w:color w:val="auto"/>
        </w:rPr>
      </w:pPr>
      <w:r>
        <w:rPr>
          <w:rFonts w:ascii="Times New Roman" w:cs="Times New Roman" w:eastAsia="Times New Roman" w:hAnsi="Times New Roman"/>
          <w:sz w:val="20"/>
          <w:szCs w:val="20"/>
          <w:color w:val="auto"/>
        </w:rPr>
        <w:t>Other income (expense) consists primarily of interest income earned on our cash equivalents and investment balances, sublease income, and realized and unrealized foreign currency transaction gains and losses.</w:t>
      </w: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Year Ended December 31,</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62"/>
        </w:trPr>
        <w:tc>
          <w:tcPr>
            <w:tcW w:w="68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300"/>
        </w:trPr>
        <w:tc>
          <w:tcPr>
            <w:tcW w:w="6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Change</w:t>
            </w:r>
          </w:p>
        </w:tc>
      </w:tr>
      <w:tr>
        <w:trPr>
          <w:trHeight w:val="291"/>
        </w:trPr>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 thousands)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License revenue</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r>
      <w:tr>
        <w:trPr>
          <w:trHeight w:val="257"/>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33,558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51,312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(17,754)</w:t>
            </w:r>
          </w:p>
        </w:tc>
      </w:tr>
      <w:tr>
        <w:trPr>
          <w:trHeight w:val="257"/>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(10,897)</w:t>
            </w:r>
          </w:p>
        </w:tc>
      </w:tr>
      <w:tr>
        <w:trPr>
          <w:trHeight w:val="256"/>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Impairment of right-of-use assets and property and equipment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7,348</w:t>
            </w:r>
          </w:p>
        </w:tc>
      </w:tr>
      <w:tr>
        <w:trPr>
          <w:trHeight w:val="25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57,478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78,781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(21,303)</w:t>
            </w:r>
          </w:p>
        </w:tc>
      </w:tr>
      <w:tr>
        <w:trPr>
          <w:trHeight w:val="25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Income (loss) from operations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12,522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(78,781)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91,303</w:t>
            </w:r>
          </w:p>
        </w:tc>
      </w:tr>
      <w:tr>
        <w:trPr>
          <w:trHeight w:val="257"/>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income (expense):</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1,879</w:t>
            </w:r>
          </w:p>
        </w:tc>
      </w:tr>
      <w:tr>
        <w:trPr>
          <w:trHeight w:val="257"/>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Other income (expense)</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(1,139)</w:t>
            </w:r>
          </w:p>
        </w:tc>
      </w:tr>
      <w:tr>
        <w:trPr>
          <w:trHeight w:val="25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9,845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9,105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740</w:t>
            </w:r>
          </w:p>
        </w:tc>
      </w:tr>
      <w:tr>
        <w:trPr>
          <w:trHeight w:val="250"/>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22,367</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(69,676)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92,043</w:t>
            </w:r>
          </w:p>
        </w:tc>
      </w:tr>
      <w:tr>
        <w:trPr>
          <w:trHeight w:val="21"/>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w:t>
      </w:r>
    </w:p>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Research and development expenses were $33.6 million for the year ended December 31, 2025, compared to $51.3 million for the year ended December 31, 2024. The following table summarizes our research and development expenses for the years ended December 31, 2025 and 2024: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7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Year Ended December 31,</w:t>
            </w: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62"/>
        </w:trPr>
        <w:tc>
          <w:tcPr>
            <w:tcW w:w="68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300"/>
        </w:trPr>
        <w:tc>
          <w:tcPr>
            <w:tcW w:w="68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rPr>
              <w:t>Change</w:t>
            </w:r>
          </w:p>
        </w:tc>
      </w:tr>
      <w:tr>
        <w:trPr>
          <w:trHeight w:val="290"/>
        </w:trPr>
        <w:tc>
          <w:tcPr>
            <w:tcW w:w="6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(in thousands)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Silevertinib (NSCLC) research and development expenses</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(6,909)</w:t>
            </w:r>
          </w:p>
        </w:tc>
      </w:tr>
      <w:tr>
        <w:trPr>
          <w:trHeight w:val="257"/>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Silevertinib (GBM) research and development expenses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5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BDTX-4933 research and development expenses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(3,595)</w:t>
            </w:r>
          </w:p>
        </w:tc>
      </w:tr>
      <w:tr>
        <w:trPr>
          <w:trHeight w:val="257"/>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Other research and development expenses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w:t>
            </w:r>
          </w:p>
        </w:tc>
      </w:tr>
      <w:tr>
        <w:trPr>
          <w:trHeight w:val="25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Personnel expenses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9,397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15,331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(5,934)</w:t>
            </w:r>
          </w:p>
        </w:tc>
      </w:tr>
      <w:tr>
        <w:trPr>
          <w:trHeight w:val="257"/>
        </w:trPr>
        <w:tc>
          <w:tcPr>
            <w:tcW w:w="6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Allocated facility expenses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5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 expenses</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(350)</w:t>
            </w:r>
          </w:p>
        </w:tc>
      </w:tr>
      <w:tr>
        <w:trPr>
          <w:trHeight w:val="250"/>
        </w:trPr>
        <w:tc>
          <w:tcPr>
            <w:tcW w:w="680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33,558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51,312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(17,754)</w:t>
            </w:r>
          </w:p>
        </w:tc>
      </w:tr>
      <w:tr>
        <w:trPr>
          <w:trHeight w:val="21"/>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decrease of $17.8 million was primarily due to a decrease of $6.9 million related to operational efficiencies gained as we progressed our clinical trial for silevertinib in NSCLC, combined with decreased spend related to BDTX-4933 of $3.6 million as a result of its outlicensing to Servier in the first quarter of 2025, compared to the year ended December 31, 2024. In addition, personnel expenses decreased by $5.9 million as we continue to capitalize on workforce efficiencies and focus on our development program.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General and administrative expenses were $16.6 million for the year ended December 31, 2025, compared to $27.5 million for the year ended December 31, 2024. The decrease of $10.9 million was primarily a result of operational and workforce efficiencies from our corporate restructuring announced in the fourth quarter of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w:t>
      </w:r>
    </w:p>
    <w:p>
      <w:pPr>
        <w:spacing w:after="0" w:line="23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20"/>
          <w:szCs w:val="20"/>
          <w:color w:val="auto"/>
        </w:rPr>
        <w:t>Other income was $9.8 million for the year ended December 31, 2025, compared to $9.1 million for the year ended December 31, 2024. The increase of $0.7 million was primarily attributable to an increase in interest income, a decrease in accretion on investments, as well as an increase in sublease income due to signing an additional sublease in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23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We have funded our operations to date primarily with proceeds from the sale of our common and preferred stock.</w:t>
      </w:r>
    </w:p>
    <w:p>
      <w:pPr>
        <w:spacing w:after="0" w:line="1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20"/>
          <w:szCs w:val="20"/>
          <w:color w:val="auto"/>
        </w:rPr>
        <w:t>On February 3, 2020, we completed an IPO of 12,174,263 shares of our common stock, including the exercise in full by the underwriters of their option to purchase up to 1,587,947 additional shares of our common stock, for aggregate gross proceeds of $231.3 million. We received $212.1 million in net proceeds after deducting underwriting discounts and commissions and other estimated offering expenses payable by us. Through December 31, 2025, we had received net cash proceeds of $200.6 million from previous sales of our preferred stock and as of December 31, 2025, we had cash, cash equivalents and investments of $128.7 million.</w:t>
      </w:r>
    </w:p>
    <w:p>
      <w:pPr>
        <w:spacing w:after="0" w:line="1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9"/>
          <w:szCs w:val="19"/>
          <w:color w:val="auto"/>
        </w:rPr>
        <w:t>On November 14, 2022,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9"/>
          <w:szCs w:val="19"/>
          <w:color w:val="auto"/>
        </w:rPr>
        <w:t xml:space="preserve"> (the Sales Agreement) with Jefferies LLC (Jefferies), as sales agent, to provide for the issuance and sale by us of up to $150.0 million of our common stock, or the Shares, from time to time through Jefferies as our sales agent (the ATM Program). Upon delivery of a placement notice and subject to the terms and conditions of the Sales Agreement, Jefferies may sell the Shares by any method permitted by law deemed to be an “at the market offering” as defined in Rule 415(a)</w:t>
      </w:r>
    </w:p>
    <w:p>
      <w:pPr>
        <w:spacing w:after="0" w:line="4" w:lineRule="exact"/>
        <w:rPr>
          <w:sz w:val="20"/>
          <w:szCs w:val="20"/>
          <w:color w:val="auto"/>
        </w:rPr>
      </w:pPr>
    </w:p>
    <w:p>
      <w:pPr>
        <w:ind w:right="20" w:firstLine="8"/>
        <w:spacing w:after="0" w:line="249" w:lineRule="auto"/>
        <w:tabs>
          <w:tab w:leader="none" w:pos="2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promulgated under the Securities Act. We may sell the Shares in amounts and at times to be determined by us from time to time subject to the terms and conditions of the Sales Agreement, but we have no obligation to sell any Shares under the Sales Agreement. We or Jefferies may suspend or terminate the offering of Shares upon notice to the other party and subject to other conditions. As of December 31, 2025, we sold 4,490,853 shares of our common stock pursuant to the ATM Program, resulting in gross proceeds to us of approximately $25.0 million ($24.5 million net of offering costs).</w:t>
      </w:r>
    </w:p>
    <w:p>
      <w:pPr>
        <w:spacing w:after="0" w:line="19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On November 13, 2025, we filed a new shelf registration statement on Form S-3, including a base prospectus and sales agreement prospectus (the New Shelf Registration Statement), with the SEC, which covers the offering, issuance and sale of our common stock, preferred stock, debt securities, warrants and/or units of any combination thereof up to a maximum price of $500.0 million, including up to $150.0 million of shares of our common stock that may be offered, issued and sold under the Sales Agreement. The New Registration Statement was filed to replace our prior shelf registration statement on Form S-3 (the Prior Shelf Registration Statement), originally filed with the SEC on November 14, 2022 and declared effective on November 22, 2022, which was set to expire on November 22, 2025, in accordance with applicable SEC regulations. The New Shelf Registration Statement became effective on December 3, 2025, and in accordance with Rule 415(a)(6) under the Securities Act, the offering of securities under the Prior Shelf Registration Statement is deemed terminated as of the date of effectiveness of the New Shelf Registration Statement. Any Shares will be sold pursuant to the New Shelf Registration Statement and the sales agreement prospectus filed therewith.</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July 5, 2023, we completed an underwritten public offering (the Follow-on Offering) of 15,000,000 shares of our common stock at a price to the public of $5.00 per share. The aggregate net proceeds from the Follow-on Offering totaled approximately $71.6 million after deducting underwriting discounts and commissions, as well as other offering expenses. The underwriters did not exercise any portion of their 30-day overallotment option to purchase up to an additional 2,250,000 shares of our common stock at the public offering price, which expired on July 29, 2023, and therefore no additional proceeds from the Follow-on Offering were received.</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 xml:space="preserve">On March 18, 2025, we entered into the Servier Agreement with Servier for BDTX-4933, a small molecule designed to address unmet medical needs in RAF/RAS-mutant solid tumors, pursuant to which we granted to Servier a global license to develop and commercialize BDTX-4933. Under the terms of the Servier Agreement, Servier will lead the development activities and the global commercialization of BDTX-4933 across multiple indications, including NSCLC, with potential applications in other solid tumors. In consideration for the license granted to Servier, we received an upfront payment of $70.0 million in March 2025 and will be eligible to receive up to $710.0 million in development and commercial sales milestone payments, along with tiered royalties based on global net sales. See Note 15, </w:t>
      </w:r>
      <w:r>
        <w:rPr>
          <w:rFonts w:ascii="Times New Roman" w:cs="Times New Roman" w:eastAsia="Times New Roman" w:hAnsi="Times New Roman"/>
          <w:sz w:val="20"/>
          <w:szCs w:val="20"/>
          <w:i w:val="1"/>
          <w:iCs w:val="1"/>
          <w:color w:val="auto"/>
        </w:rPr>
        <w:t>License Revenue</w:t>
      </w:r>
      <w:r>
        <w:rPr>
          <w:rFonts w:ascii="Times New Roman" w:cs="Times New Roman" w:eastAsia="Times New Roman" w:hAnsi="Times New Roman"/>
          <w:sz w:val="20"/>
          <w:szCs w:val="20"/>
          <w:color w:val="auto"/>
        </w:rPr>
        <w:t>, to the consolidated financial statements included elsewhere in this Annual Report for additional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each of the periods presented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60" w:type="dxa"/>
            <w:vAlign w:val="bottom"/>
            <w:gridSpan w:val="4"/>
          </w:tcPr>
          <w:p>
            <w:pPr>
              <w:jc w:val="right"/>
              <w:ind w:right="341"/>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62"/>
        </w:trPr>
        <w:tc>
          <w:tcPr>
            <w:tcW w:w="83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00"/>
        </w:trPr>
        <w:tc>
          <w:tcPr>
            <w:tcW w:w="83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r>
      <w:tr>
        <w:trPr>
          <w:trHeight w:val="29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provided by (used in) operating activities</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jc w:val="center"/>
              <w:ind w:left="281"/>
              <w:spacing w:after="0"/>
              <w:rPr>
                <w:sz w:val="20"/>
                <w:szCs w:val="20"/>
                <w:color w:val="auto"/>
              </w:rPr>
            </w:pPr>
            <w:r>
              <w:rPr>
                <w:rFonts w:ascii="Times New Roman" w:cs="Times New Roman" w:eastAsia="Times New Roman" w:hAnsi="Times New Roman"/>
                <w:sz w:val="20"/>
                <w:szCs w:val="20"/>
                <w:color w:val="auto"/>
                <w:w w:val="99"/>
              </w:rPr>
              <w:t>(62,303)</w:t>
            </w:r>
          </w:p>
        </w:tc>
      </w:tr>
      <w:tr>
        <w:trPr>
          <w:trHeight w:val="307"/>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Cash provided by (used in) investing activities</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(44,905)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center"/>
              <w:ind w:left="301"/>
              <w:spacing w:after="0"/>
              <w:rPr>
                <w:sz w:val="20"/>
                <w:szCs w:val="20"/>
                <w:color w:val="auto"/>
              </w:rPr>
            </w:pPr>
            <w:r>
              <w:rPr>
                <w:rFonts w:ascii="Times New Roman" w:cs="Times New Roman" w:eastAsia="Times New Roman" w:hAnsi="Times New Roman"/>
                <w:sz w:val="20"/>
                <w:szCs w:val="20"/>
                <w:color w:val="auto"/>
                <w:w w:val="98"/>
              </w:rPr>
              <w:t>16,968</w:t>
            </w:r>
          </w:p>
        </w:tc>
      </w:tr>
      <w:tr>
        <w:trPr>
          <w:trHeight w:val="31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provided by (used in) financing activities</w:t>
            </w:r>
          </w:p>
        </w:tc>
        <w:tc>
          <w:tcPr>
            <w:tcW w:w="2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center"/>
              <w:ind w:left="301"/>
              <w:spacing w:after="0"/>
              <w:rPr>
                <w:sz w:val="20"/>
                <w:szCs w:val="20"/>
                <w:color w:val="auto"/>
              </w:rPr>
            </w:pPr>
            <w:r>
              <w:rPr>
                <w:rFonts w:ascii="Times New Roman" w:cs="Times New Roman" w:eastAsia="Times New Roman" w:hAnsi="Times New Roman"/>
                <w:sz w:val="20"/>
                <w:szCs w:val="20"/>
                <w:color w:val="auto"/>
                <w:w w:val="98"/>
              </w:rPr>
              <w:t>25,547</w:t>
            </w:r>
          </w:p>
        </w:tc>
      </w:tr>
      <w:tr>
        <w:trPr>
          <w:trHeight w:val="260"/>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(15,437)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tcPr>
          <w:p>
            <w:pPr>
              <w:jc w:val="center"/>
              <w:ind w:left="281"/>
              <w:spacing w:after="0"/>
              <w:rPr>
                <w:sz w:val="20"/>
                <w:szCs w:val="20"/>
                <w:color w:val="auto"/>
              </w:rPr>
            </w:pPr>
            <w:r>
              <w:rPr>
                <w:rFonts w:ascii="Times New Roman" w:cs="Times New Roman" w:eastAsia="Times New Roman" w:hAnsi="Times New Roman"/>
                <w:sz w:val="20"/>
                <w:szCs w:val="20"/>
                <w:color w:val="auto"/>
                <w:w w:val="99"/>
              </w:rPr>
              <w:t>(19,788)</w:t>
            </w:r>
          </w:p>
        </w:tc>
      </w:tr>
      <w:tr>
        <w:trPr>
          <w:trHeight w:val="24"/>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20"/>
          <w:szCs w:val="20"/>
          <w:color w:val="auto"/>
        </w:rPr>
        <w:t>During the year ended December 31, 2025, we had cash provided by operating activities of $29.6 million, primarily resulting from our net income of $22.4 million, along with $16.0 million of non-cash items, partially offset by changes in our operating assets and liabilities of $8.7 million.</w:t>
      </w:r>
    </w:p>
    <w:p>
      <w:pPr>
        <w:spacing w:after="0" w:line="168"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20"/>
          <w:szCs w:val="20"/>
          <w:color w:val="auto"/>
        </w:rPr>
        <w:t>During the year ended December 31, 2024, we used cash in operating activities of $62.3 million, primarily resulting from our net loss of $69.7 million, partially offset by the non-cash charge related to stock compensation expense of $10.6 million, an increase in accretion on investments, and an increase in accounts payable.</w:t>
      </w:r>
    </w:p>
    <w:p>
      <w:pPr>
        <w:spacing w:after="0" w:line="161"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Changes in accounts payable and accrued expenses in all periods were generally due to ongoing development of our product candidates and the timing of vendor invoicing and payments.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233"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During the year ended December 31, 2025, we had cash used investing activities of $44.9 million primarily from the purchase of investments offset by sales and maturities of investments.</w:t>
      </w:r>
    </w:p>
    <w:p>
      <w:pPr>
        <w:spacing w:after="0" w:line="146"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20"/>
          <w:szCs w:val="20"/>
          <w:color w:val="auto"/>
        </w:rPr>
        <w:t>During the year ended December 31, 2024, we had cash provided by investing activities of $17.0 million primarily from the sales and maturities of investments, netted against our purchase of investments.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233"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0"/>
          <w:szCs w:val="20"/>
          <w:color w:val="auto"/>
        </w:rPr>
        <w:t>During the year ended December 31, 2025, we had cash used in financing activities of $0.1 million, consisting of proceeds from exercises of stock options and the participation in the 2020 Employee Stock Purchase Plan (ESPP) offset by the shares surrendered to cover taxes from a restricted stock unit vesting.</w:t>
      </w:r>
    </w:p>
    <w:p>
      <w:pPr>
        <w:spacing w:after="0" w:line="168"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20"/>
          <w:szCs w:val="20"/>
          <w:color w:val="auto"/>
        </w:rPr>
        <w:t>During the year ended December 31, 2024, we had cash provided by financing activities of $25.5 million, consisting of proceeds from the sale of shares of our common stock pursuant to the ATM Program as well as exercises of stock options and participation in the employee stock purchase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23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9"/>
          <w:szCs w:val="19"/>
          <w:color w:val="auto"/>
        </w:rPr>
        <w:t>We expect our expenses to increase substantially in connection with our ongoing activities, particularly as we advance clinical trials of silevertinib. In addition, we expect to incur additional costs associated with operating as a public company, including significant legal, accounting, investor relations and other expenses. The timing and amount of our operating expenditures will depend largely on our ability to:</w:t>
      </w:r>
    </w:p>
    <w:p>
      <w:pPr>
        <w:spacing w:after="0" w:line="56" w:lineRule="exact"/>
        <w:rPr>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 silevertinib through clinical trials, either independently or with a partner;</w:t>
      </w:r>
    </w:p>
    <w:p>
      <w:pPr>
        <w:spacing w:after="0" w:line="107" w:lineRule="exact"/>
        <w:rPr>
          <w:rFonts w:ascii="Times New Roman" w:cs="Times New Roman" w:eastAsia="Times New Roman" w:hAnsi="Times New Roman"/>
          <w:sz w:val="20"/>
          <w:szCs w:val="20"/>
          <w:color w:val="auto"/>
        </w:rPr>
      </w:pPr>
    </w:p>
    <w:p>
      <w:pPr>
        <w:ind w:left="660" w:right="1000" w:hanging="328"/>
        <w:spacing w:after="0" w:line="283" w:lineRule="auto"/>
        <w:tabs>
          <w:tab w:leader="none" w:pos="6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manufacture, or have manufactured on our behalf, our drug material and develop processes for late stage and commercial manufacturing;</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regulatory approvals for any product candidates that successfully complete clinical trials;</w:t>
      </w:r>
    </w:p>
    <w:p>
      <w:pPr>
        <w:spacing w:after="0" w:line="121" w:lineRule="exact"/>
        <w:rPr>
          <w:rFonts w:ascii="Times New Roman" w:cs="Times New Roman" w:eastAsia="Times New Roman" w:hAnsi="Times New Roman"/>
          <w:sz w:val="20"/>
          <w:szCs w:val="20"/>
          <w:color w:val="auto"/>
        </w:rPr>
      </w:pPr>
    </w:p>
    <w:p>
      <w:pPr>
        <w:ind w:left="660" w:right="360" w:hanging="328"/>
        <w:spacing w:after="0" w:line="283" w:lineRule="auto"/>
        <w:tabs>
          <w:tab w:leader="none" w:pos="64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 sales, marketing, medical affairs and distribution infrastructure to commercialize any product candidates for which we may obtain marketing approval and intend to commercialize on our own; and</w:t>
      </w:r>
    </w:p>
    <w:p>
      <w:pPr>
        <w:spacing w:after="0" w:line="3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maintain, expand, enforce and protect our intellectual property portfolio.</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As of December 31, 2025, we had cash, cash equivalents and investments of $128.7 million, which we believe will fund our operating expenses and capital expenditure requirements into the second half of 2028. We have based this estimate on assumptions that may prove to be wrong, and we could utilize our available capital resources sooner than we expect. We anticipate that we will require additional capital as we seek regulatory approval of our product candidates and if we choose to pursue in-licenses or acquisitions of other product candidates. If we receive regulatory approval for any of our product candidates, we expect to incur significant commercialization expenses related to product manufacturing, sales, marketing and distribution, depending on where we choose to commercialize.</w:t>
      </w:r>
    </w:p>
    <w:p>
      <w:pPr>
        <w:spacing w:after="0" w:line="17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research, development and commercialization of product candidates, we are unable to predict the timing or amount of increased expenses or when or if we will be able to achieve or maintain profitability. If we fail to become profitable or are unable to sustain profitability on a continuing basis, then we may be unable to continue our operations at planned levels and be forced to further reduce or terminate our operations. Our future funding requirements will depend on and could increase significantly as a result of many factors, including:</w:t>
      </w:r>
    </w:p>
    <w:p>
      <w:pPr>
        <w:spacing w:after="0" w:line="65" w:lineRule="exact"/>
        <w:rPr>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progress, results and costs of developing our product candidates, and conducting clinical trials;</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outcome of regulatory review of our product candidates;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timing and ability to manufacture our product candidates to supply our clinical development efforts and our clinical trials;</w:t>
      </w:r>
    </w:p>
    <w:p>
      <w:pPr>
        <w:spacing w:after="0" w:line="121" w:lineRule="exact"/>
        <w:rPr>
          <w:rFonts w:ascii="Times New Roman" w:cs="Times New Roman" w:eastAsia="Times New Roman" w:hAnsi="Times New Roman"/>
          <w:sz w:val="20"/>
          <w:szCs w:val="20"/>
          <w:color w:val="auto"/>
        </w:rPr>
      </w:pPr>
    </w:p>
    <w:p>
      <w:pPr>
        <w:ind w:left="660" w:right="680" w:hanging="328"/>
        <w:spacing w:after="0" w:line="283"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Servier’s ability to develop and commercialize BDTX-4933 and the receipt of potential milestone and royalty payments from commercial product sales, along with tiered royalties based on global net sales, if any, under the Servier Agreement;</w:t>
      </w:r>
    </w:p>
    <w:p>
      <w:pPr>
        <w:spacing w:after="0" w:line="38" w:lineRule="exact"/>
        <w:rPr>
          <w:rFonts w:ascii="Times New Roman" w:cs="Times New Roman" w:eastAsia="Times New Roman" w:hAnsi="Times New Roman"/>
          <w:sz w:val="20"/>
          <w:szCs w:val="20"/>
          <w:color w:val="auto"/>
        </w:rPr>
      </w:pPr>
    </w:p>
    <w:p>
      <w:pPr>
        <w:ind w:left="660" w:right="560" w:hanging="328"/>
        <w:spacing w:after="0" w:line="283" w:lineRule="auto"/>
        <w:tabs>
          <w:tab w:leader="none" w:pos="6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future activities, including product sales, medical affairs, marketing, manufacturing and distribution, for any of our product candidates for which we receive marketing approval;</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right="60" w:hanging="328"/>
        <w:spacing w:after="0" w:line="261"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receipt of regulatory approval, the costs of commercialization activities for our product candidates, to the extent such costs are not the responsibility of any future collaborators, including the costs and timing of establishing product sales, marketing, distribution and manufacturing capabilities;</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ability to receive additional non-dilutive funding;</w:t>
      </w:r>
    </w:p>
    <w:p>
      <w:pPr>
        <w:spacing w:after="0" w:line="107"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revenue, if any, received from commercial sale of our product candidates, should any of our product candidates receive marketing approval;</w:t>
      </w:r>
    </w:p>
    <w:p>
      <w:pPr>
        <w:spacing w:after="0" w:line="51" w:lineRule="exact"/>
        <w:rPr>
          <w:rFonts w:ascii="Times New Roman" w:cs="Times New Roman" w:eastAsia="Times New Roman" w:hAnsi="Times New Roman"/>
          <w:sz w:val="20"/>
          <w:szCs w:val="20"/>
          <w:color w:val="auto"/>
        </w:rPr>
      </w:pPr>
    </w:p>
    <w:p>
      <w:pPr>
        <w:ind w:left="660" w:right="300" w:hanging="328"/>
        <w:spacing w:after="0" w:line="269"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preparing, filing and prosecuting patent applications, obtaining, maintaining, expanding and enforcing our intellectual property rights and defending intellectual property-related claims;</w:t>
      </w:r>
    </w:p>
    <w:p>
      <w:pPr>
        <w:spacing w:after="0" w:line="64" w:lineRule="exact"/>
        <w:rPr>
          <w:rFonts w:ascii="Times New Roman" w:cs="Times New Roman" w:eastAsia="Times New Roman" w:hAnsi="Times New Roman"/>
          <w:sz w:val="20"/>
          <w:szCs w:val="20"/>
          <w:color w:val="auto"/>
        </w:rPr>
      </w:pPr>
    </w:p>
    <w:p>
      <w:pPr>
        <w:ind w:left="660" w:right="80" w:hanging="328"/>
        <w:spacing w:after="0" w:line="261"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additional collaborations and license agreements on favorable terms, if at all, and the ability and willingness of our third-party strategic collaborators to undertake research and development activities relating to our product candidates, and the success of those collaborations and license agreements;</w:t>
      </w:r>
    </w:p>
    <w:p>
      <w:pPr>
        <w:spacing w:after="0" w:line="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to which we acquire or in-license other product candidates and technologies;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ongoing costs of operating as a public company; and</w:t>
      </w:r>
    </w:p>
    <w:p>
      <w:pPr>
        <w:spacing w:after="0" w:line="121" w:lineRule="exact"/>
        <w:rPr>
          <w:rFonts w:ascii="Times New Roman" w:cs="Times New Roman" w:eastAsia="Times New Roman" w:hAnsi="Times New Roman"/>
          <w:sz w:val="20"/>
          <w:szCs w:val="20"/>
          <w:color w:val="auto"/>
        </w:rPr>
      </w:pPr>
    </w:p>
    <w:p>
      <w:pPr>
        <w:ind w:left="660" w:right="200" w:hanging="328"/>
        <w:spacing w:after="0" w:line="269" w:lineRule="auto"/>
        <w:tabs>
          <w:tab w:leader="none" w:pos="648"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macroeconomic, geopolitical, industry and market conditions, including increases in inflationary rates, tariffs, interest rates and supply chain constraints.</w:t>
      </w:r>
    </w:p>
    <w:p>
      <w:pPr>
        <w:spacing w:after="0" w:line="17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As a result, we will need substantial additional funding to support our continuing operations and pursue our growth strategy. Until such time, if ever, as we can generate substantial product revenue from product sales, we expect to finance our operations through a combination of public or private equity offerings, debt financings, collaborations, strategic partnerships and alliances or marketing, distribution or licensing arrangements with third parties or through other sources of financing. In addition, we may seek additional capital due to favorable market conditions or strategic considerations, even if we believe that we have sufficient funds for our current or future operating plans. However, the trading prices for our common stock and for other biopharmaceutical companies have been highly volatile. As a result, we may face difficulties raising capital through sales of our common stock, and such sales may be on unfavorable terms. Similarly, adverse macroeconomic conditions and market volatility resulting from global economic developments, political unrest, high inflation, global health crises, or other factors could materially and adversely affect our ability to consummate an equity or debt financing on favorable terms or at all. We may be unable to raise additional funds or enter into such other agreements or arrangements when needed on favorable terms, or at all.</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To the extent that we raise additional capital through the sale of private or public equity or convertible debt securities, the ownership interest of our stockholders may be materially diluted, and the terms of such securities could include liquidation or other preferences and anti-dilution protections that could adversely affect the rights of our common stockholders. Debt financing and preferred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debt financing may involve significant cash payment obligations and specific financial ratios that may restrict our ability to operate our business would result in fixed payment obligations.</w:t>
      </w:r>
    </w:p>
    <w:p>
      <w:pPr>
        <w:spacing w:after="0" w:line="19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 obtain capital through arrangements with collaborators on terms unfavorable to us or pursue merger or acquisition strategies, all of which could adversely affect the holdings or the rights of our stockholders.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use of estimates</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consolidated financial statements are prepared in accordance with generally accepted accounting principles in the United States (GAAP). The preparation of our consolidated financial statements and related disclosures requires us to make estimates and judgments that affect the reported amounts of assets, liabilities, costs and expenses.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9"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9"/>
          <w:szCs w:val="19"/>
          <w:color w:val="auto"/>
        </w:rPr>
        <w:t>While our significant accounting policies are described in more detail in Note 2 to our consolidated financial statements, we believe that the following accounting policies are those most critical to the judgments and estimates used in the preparation of our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Accrued research and development costs</w:t>
      </w:r>
    </w:p>
    <w:p>
      <w:pPr>
        <w:spacing w:after="0" w:line="23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As part of the process of preparing our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7" w:lineRule="exact"/>
        <w:rPr>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vendors, including research laboratories, in connection with preclinical development activities;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CROs and investigative sites in connection with preclinical studies and clinical trials; and</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CMOs in connection with drug substance and drug product formulation of preclinical studies and clinical trial materials.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We measure stock options and other stock-based awards granted to employees, non-employees and directors based on their fair value on the date of the grant and recognize the corresponding compensation expense of those awards over the requisite service period, which is generally the vesting period of the respective award. We have generally only issued stock options and restricted stock units with service-based vesting conditions and record the expense for these awards using the straight-line method. For stock options or restricted stock units issued with performance-based vesting conditions, the related stock compensation expense is recognized based on the grant date fair value when achievement of the performance condition is deemed probable. The graded-vesting method would apply to all stock-based awards with performance-based vesting conditions or to awards with both service-based and performance-based vesting conditions.</w:t>
      </w:r>
    </w:p>
    <w:p>
      <w:pPr>
        <w:spacing w:after="0" w:line="19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We have historically granted stock options with exercise prices equivalent to the fair value of our common stock as of the date of grant. For grants of restricted stock units, we base the fair value on the stock price as of the date of grant.</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We account for stock-based awards granted to employees and non-employees at fair value, which is measured using the Black-Scholes option-pricing model. The measurement date for the awards is generally the date of grant. Stock-based compensation costs are recognized as expenses over the requisite service period, which is generally the vesting period, on a straight-line basis for all time-vested awards.</w:t>
      </w:r>
    </w:p>
    <w:p>
      <w:pPr>
        <w:spacing w:after="0" w:line="18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We estimate the fair value of each stock option grant using the Black-Scholes option-pricing model, which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20"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A description of recently issued accounting pronouncements that may potentially impact our financial position and results of operations is disclosed in Note 2 to our consolidated financial statements appearing elsewhere in this Annual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Smaller reporting company status</w:t>
      </w:r>
    </w:p>
    <w:p>
      <w:pPr>
        <w:spacing w:after="0" w:line="23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Effective as of December 31, 2025, the fifth anniversary of the closing of our IPO, we no longer qualify as an “emerging growth company.” As a result, commencing with this Annual Report, we are no longer eligible to take advantage of certain exemptions from various reporting requirements that are applicable to emerging growth companies.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are still a “smaller reporting company” meaning that the market value of our stock held by non-affiliates is less than $700 million and our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annual revenue was less than $100 million during the most recently completed fiscal year. We may continue to be a smaller reporting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if either (i) the market value of our stock held by non-affiliates is less than $250 million or (ii) our annual revenue was less than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$100 million during the most recently completed fiscal year and the market value of our stock held by non-affiliates is less than $700 million.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smaller reporting company, we may continue to rely on exemptions from certain disclosure requirements that are available to smaller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reporting companies despite the loss of emerging growth company status. Specifically, as a smaller reporting company we may choose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present only the two most recent fiscal years of audited financial statements in our Annual Report and, similar to emerging growth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companies, smaller reporting companies have reduced disclosure obligations regarding executive compensation.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 About Market Risk</w:t>
      </w:r>
    </w:p>
    <w:p>
      <w:pPr>
        <w:spacing w:after="0" w:line="233"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We are a smaller reporting company as defined by Rule 12b-2 of the Exchange Act and are not required to provide the information required under this item.</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8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color w:val="auto"/>
              </w:rPr>
              <w:t>Item 8. Consolidated Financial Statements and Supplementary Data</w:t>
            </w: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60" w:type="dxa"/>
            <w:vAlign w:val="bottom"/>
            <w:gridSpan w:val="4"/>
          </w:tcPr>
          <w:p>
            <w:pPr>
              <w:jc w:val="center"/>
              <w:ind w:right="1760"/>
              <w:spacing w:after="0"/>
              <w:rPr>
                <w:sz w:val="20"/>
                <w:szCs w:val="20"/>
                <w:color w:val="auto"/>
              </w:rPr>
            </w:pPr>
            <w:r>
              <w:rPr>
                <w:rFonts w:ascii="Times New Roman" w:cs="Times New Roman" w:eastAsia="Times New Roman" w:hAnsi="Times New Roman"/>
                <w:sz w:val="20"/>
                <w:szCs w:val="20"/>
                <w:b w:val="1"/>
                <w:bCs w:val="1"/>
                <w:color w:val="auto"/>
                <w:w w:val="98"/>
              </w:rPr>
              <w:t>BLACK DIAMOND THERAPEUTICS, INC.</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60" w:type="dxa"/>
            <w:vAlign w:val="bottom"/>
            <w:gridSpan w:val="4"/>
          </w:tcPr>
          <w:p>
            <w:pPr>
              <w:jc w:val="center"/>
              <w:ind w:right="1780"/>
              <w:spacing w:after="0"/>
              <w:rPr>
                <w:sz w:val="20"/>
                <w:szCs w:val="20"/>
                <w:color w:val="auto"/>
              </w:rPr>
            </w:pPr>
            <w:r>
              <w:rPr>
                <w:rFonts w:ascii="Times New Roman" w:cs="Times New Roman" w:eastAsia="Times New Roman" w:hAnsi="Times New Roman"/>
                <w:sz w:val="20"/>
                <w:szCs w:val="20"/>
                <w:b w:val="1"/>
                <w:bCs w:val="1"/>
                <w:color w:val="auto"/>
                <w:w w:val="98"/>
              </w:rPr>
              <w:t>Index to Consolidated Financial Statements</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20"/>
                <w:szCs w:val="20"/>
                <w:b w:val="1"/>
                <w:bCs w:val="1"/>
                <w:color w:val="auto"/>
              </w:rPr>
              <w:t>Page No.</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820" w:type="dxa"/>
            <w:vAlign w:val="bottom"/>
            <w:gridSpan w:val="6"/>
          </w:tcPr>
          <w:p>
            <w:pPr>
              <w:spacing w:after="0" w:line="196" w:lineRule="exact"/>
              <w:rPr>
                <w:sz w:val="20"/>
                <w:szCs w:val="20"/>
                <w:color w:val="auto"/>
              </w:rPr>
            </w:pPr>
            <w:r>
              <w:rPr>
                <w:rFonts w:ascii="Times New Roman" w:cs="Times New Roman" w:eastAsia="Times New Roman" w:hAnsi="Times New Roman"/>
                <w:sz w:val="20"/>
                <w:szCs w:val="20"/>
                <w:color w:val="0000FF"/>
              </w:rPr>
              <w:t>Report of Independent Registered Public Accounting Firm (PCAOB ID 238)</w:t>
            </w:r>
          </w:p>
        </w:tc>
        <w:tc>
          <w:tcPr>
            <w:tcW w:w="1080" w:type="dxa"/>
            <w:vAlign w:val="bottom"/>
          </w:tcPr>
          <w:p>
            <w:pPr>
              <w:spacing w:after="0"/>
              <w:rPr>
                <w:sz w:val="17"/>
                <w:szCs w:val="17"/>
                <w:color w:val="auto"/>
              </w:rPr>
            </w:pPr>
          </w:p>
        </w:tc>
        <w:tc>
          <w:tcPr>
            <w:tcW w:w="3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0"/>
                <w:szCs w:val="20"/>
                <w:color w:val="0000FF"/>
                <w:w w:val="93"/>
              </w:rPr>
              <w:t>132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Borders>
              <w:bottom w:val="single" w:sz="8" w:color="0000FF"/>
            </w:tcBorders>
          </w:tcPr>
          <w:p>
            <w:pPr>
              <w:spacing w:after="0" w:line="20" w:lineRule="exact"/>
              <w:rPr>
                <w:sz w:val="1"/>
                <w:szCs w:val="1"/>
                <w:color w:val="auto"/>
              </w:rPr>
            </w:pPr>
          </w:p>
        </w:tc>
        <w:tc>
          <w:tcPr>
            <w:tcW w:w="860" w:type="dxa"/>
            <w:vAlign w:val="bottom"/>
            <w:tcBorders>
              <w:bottom w:val="single" w:sz="8" w:color="0000FF"/>
            </w:tcBorders>
          </w:tcPr>
          <w:p>
            <w:pPr>
              <w:spacing w:after="0" w:line="20" w:lineRule="exact"/>
              <w:rPr>
                <w:sz w:val="1"/>
                <w:szCs w:val="1"/>
                <w:color w:val="auto"/>
              </w:rPr>
            </w:pPr>
          </w:p>
        </w:tc>
        <w:tc>
          <w:tcPr>
            <w:tcW w:w="720" w:type="dxa"/>
            <w:vAlign w:val="bottom"/>
            <w:tcBorders>
              <w:bottom w:val="single" w:sz="8" w:color="0000FF"/>
            </w:tcBorders>
          </w:tcPr>
          <w:p>
            <w:pPr>
              <w:spacing w:after="0" w:line="20" w:lineRule="exact"/>
              <w:rPr>
                <w:sz w:val="1"/>
                <w:szCs w:val="1"/>
                <w:color w:val="auto"/>
              </w:rPr>
            </w:pPr>
          </w:p>
        </w:tc>
        <w:tc>
          <w:tcPr>
            <w:tcW w:w="204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93"/>
              </w:rPr>
              <w:t>134</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20" w:type="dxa"/>
            <w:vAlign w:val="bottom"/>
          </w:tcPr>
          <w:p>
            <w:pPr>
              <w:spacing w:after="0"/>
              <w:rPr>
                <w:sz w:val="24"/>
                <w:szCs w:val="24"/>
                <w:color w:val="auto"/>
              </w:rPr>
            </w:pPr>
          </w:p>
        </w:tc>
        <w:tc>
          <w:tcPr>
            <w:tcW w:w="982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1080" w:type="dxa"/>
            <w:vAlign w:val="bottom"/>
            <w:vMerge w:val="restart"/>
          </w:tcPr>
          <w:p>
            <w:pPr>
              <w:spacing w:after="0"/>
              <w:rPr>
                <w:sz w:val="24"/>
                <w:szCs w:val="24"/>
                <w:color w:val="auto"/>
              </w:rPr>
            </w:pPr>
          </w:p>
        </w:tc>
        <w:tc>
          <w:tcPr>
            <w:tcW w:w="300" w:type="dxa"/>
            <w:vAlign w:val="bottom"/>
            <w:tcBorders>
              <w:bottom w:val="single" w:sz="8" w:color="0000FF"/>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20" w:type="dxa"/>
            <w:vAlign w:val="bottom"/>
            <w:gridSpan w:val="6"/>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0" w:type="dxa"/>
            <w:vAlign w:val="bottom"/>
          </w:tcPr>
          <w:p>
            <w:pPr>
              <w:spacing w:after="0"/>
              <w:rPr>
                <w:sz w:val="24"/>
                <w:szCs w:val="24"/>
                <w:color w:val="auto"/>
              </w:rPr>
            </w:pPr>
          </w:p>
        </w:tc>
        <w:tc>
          <w:tcPr>
            <w:tcW w:w="982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rPr>
              <w:t>Consolidated Statements of Operations and Comprehensive Income (Loss)</w:t>
            </w:r>
          </w:p>
        </w:tc>
        <w:tc>
          <w:tcPr>
            <w:tcW w:w="1080" w:type="dxa"/>
            <w:vAlign w:val="bottom"/>
            <w:vMerge w:val="restart"/>
          </w:tcPr>
          <w:p>
            <w:pPr>
              <w:spacing w:after="0"/>
              <w:rPr>
                <w:sz w:val="24"/>
                <w:szCs w:val="24"/>
                <w:color w:val="auto"/>
              </w:rPr>
            </w:pP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gridSpan w:val="6"/>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5920" w:type="dxa"/>
            <w:vAlign w:val="bottom"/>
            <w:tcBorders>
              <w:top w:val="single" w:sz="8" w:color="0000FF"/>
              <w:bottom w:val="single" w:sz="8" w:color="0000FF"/>
            </w:tcBorders>
            <w:gridSpan w:val="4"/>
            <w:vMerge w:val="restart"/>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3900" w:type="dxa"/>
            <w:vAlign w:val="bottom"/>
            <w:gridSpan w:val="2"/>
            <w:vMerge w:val="restart"/>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3"/>
              </w:rPr>
              <w:t>136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20" w:type="dxa"/>
            <w:vAlign w:val="bottom"/>
            <w:gridSpan w:val="4"/>
            <w:vMerge w:val="continue"/>
          </w:tcPr>
          <w:p>
            <w:pPr>
              <w:spacing w:after="0" w:line="20" w:lineRule="exact"/>
              <w:rPr>
                <w:sz w:val="1"/>
                <w:szCs w:val="1"/>
                <w:color w:val="auto"/>
              </w:rPr>
            </w:pPr>
          </w:p>
        </w:tc>
        <w:tc>
          <w:tcPr>
            <w:tcW w:w="3900" w:type="dxa"/>
            <w:vAlign w:val="bottom"/>
            <w:gridSpan w:val="2"/>
            <w:vMerge w:val="continue"/>
          </w:tcPr>
          <w:p>
            <w:pPr>
              <w:spacing w:after="0" w:line="20" w:lineRule="exact"/>
              <w:rPr>
                <w:sz w:val="1"/>
                <w:szCs w:val="1"/>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rPr>
              <w:t>137</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w w:val="98"/>
              </w:rPr>
              <w:t>Consolidated Statements of Stockholders' Equity</w:t>
            </w:r>
          </w:p>
        </w:tc>
        <w:tc>
          <w:tcPr>
            <w:tcW w:w="5940" w:type="dxa"/>
            <w:vAlign w:val="bottom"/>
            <w:gridSpan w:val="3"/>
            <w:vMerge w:val="restart"/>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880" w:type="dxa"/>
            <w:vAlign w:val="bottom"/>
            <w:tcBorders>
              <w:bottom w:val="single" w:sz="8" w:color="0000FF"/>
            </w:tcBorders>
            <w:gridSpan w:val="3"/>
            <w:vMerge w:val="continue"/>
          </w:tcPr>
          <w:p>
            <w:pPr>
              <w:spacing w:after="0"/>
              <w:rPr>
                <w:sz w:val="4"/>
                <w:szCs w:val="4"/>
                <w:color w:val="auto"/>
              </w:rPr>
            </w:pPr>
          </w:p>
        </w:tc>
        <w:tc>
          <w:tcPr>
            <w:tcW w:w="594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Board of Directors and Stockholders of Black Diamond Therapeutics, Inc.</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Financial Statements</w:t>
      </w:r>
    </w:p>
    <w:p>
      <w:pPr>
        <w:spacing w:after="0" w:line="23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Black Diamond Therapeutics, Inc. and its subsidiary (the “Company”) as of December 31, 2025 and 2024, and the related consolidated statements of operations and comprehensive income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20"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9"/>
          <w:szCs w:val="19"/>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Matters</w:t>
      </w:r>
    </w:p>
    <w:p>
      <w:pPr>
        <w:spacing w:after="0" w:line="23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Accrued Research and Development Costs Related to Contract Research Organization Activities</w:t>
      </w:r>
    </w:p>
    <w:p>
      <w:pPr>
        <w:spacing w:after="0" w:line="23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As described in Notes 2 and 7 to the consolidated financial statements, research and development costs are expensed as incurred. As disclosed by management, these costs include expenses incurred under agreements with contract research organizations (CROs) that are primarily engaged in the oversight and conduct of the Company’s drug discovery efforts, preclinical studies, and clinical trials. When billing terms under these contracts do not coincide with the timing of when the work is performed, the Company is required to make estimates of outstanding obligations to those third parties as of the end of the reporting period. The accrual estimates are based on a number of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The Company recorded $7.9 million of accrued research and development costs as of December 31, 2025, a significant portion of which relates to accrued research and development costs related to CRO activities.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principal consideration for our determination that performing procedures relating to accrued research and development costs related to CRO activities is a critical audit matter is a high degree of auditor effort in performing procedures related to the Company’s accrued research and development costs related to CRO activities.</w:t>
      </w:r>
    </w:p>
    <w:p>
      <w:pPr>
        <w:spacing w:after="0" w:line="18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 procedures included, among others (i) evaluating the appropriateness of the method used by management to calculate the accrued research and development costs related to CRO activities; and (ii) testing the accrued research and development costs on a sample basis by obtaining and inspecting source documents, such as contracts, purchase orders, invoices and payments, and recalculating the accrued research and development costs.</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Boston, Massachusetts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16, 2026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2019.</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Current assets:</w:t>
      </w:r>
    </w:p>
    <w:p>
      <w:pPr>
        <w:spacing w:after="0" w:line="81" w:lineRule="exact"/>
        <w:rPr>
          <w:sz w:val="20"/>
          <w:szCs w:val="20"/>
          <w:color w:val="auto"/>
        </w:rPr>
      </w:pPr>
    </w:p>
    <w:p>
      <w:pPr>
        <w:ind w:left="240" w:right="1200"/>
        <w:spacing w:after="0" w:line="295" w:lineRule="auto"/>
        <w:rPr>
          <w:sz w:val="20"/>
          <w:szCs w:val="20"/>
          <w:color w:val="auto"/>
        </w:rPr>
      </w:pPr>
      <w:r>
        <w:rPr>
          <w:rFonts w:ascii="Times New Roman" w:cs="Times New Roman" w:eastAsia="Times New Roman" w:hAnsi="Times New Roman"/>
          <w:sz w:val="20"/>
          <w:szCs w:val="20"/>
          <w:color w:val="auto"/>
        </w:rPr>
        <w:t>Cash and cash equivalents Investments</w:t>
      </w:r>
    </w:p>
    <w:p>
      <w:pPr>
        <w:spacing w:after="0" w:line="2" w:lineRule="exact"/>
        <w:rPr>
          <w:sz w:val="20"/>
          <w:szCs w:val="20"/>
          <w:color w:val="auto"/>
        </w:rPr>
      </w:pPr>
    </w:p>
    <w:p>
      <w:pPr>
        <w:ind w:left="460" w:hanging="215"/>
        <w:spacing w:after="0" w:line="324" w:lineRule="auto"/>
        <w:rPr>
          <w:sz w:val="20"/>
          <w:szCs w:val="20"/>
          <w:color w:val="auto"/>
        </w:rPr>
      </w:pPr>
      <w:r>
        <w:rPr>
          <w:rFonts w:ascii="Times New Roman" w:cs="Times New Roman" w:eastAsia="Times New Roman" w:hAnsi="Times New Roman"/>
          <w:sz w:val="20"/>
          <w:szCs w:val="20"/>
          <w:color w:val="auto"/>
        </w:rPr>
        <w:t>Prepaid expenses and other current assets Total current assets</w:t>
      </w:r>
    </w:p>
    <w:p>
      <w:pPr>
        <w:ind w:left="20"/>
        <w:spacing w:after="0"/>
        <w:rPr>
          <w:sz w:val="20"/>
          <w:szCs w:val="20"/>
          <w:color w:val="auto"/>
        </w:rPr>
      </w:pPr>
      <w:r>
        <w:rPr>
          <w:rFonts w:ascii="Times New Roman" w:cs="Times New Roman" w:eastAsia="Times New Roman" w:hAnsi="Times New Roman"/>
          <w:sz w:val="20"/>
          <w:szCs w:val="20"/>
          <w:color w:val="auto"/>
        </w:rPr>
        <w:t>Property and equipment, net</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Restricted cash</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Right-of-use assets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Other non-current assets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Total assets</w:t>
      </w:r>
    </w:p>
    <w:p>
      <w:pPr>
        <w:spacing w:after="0" w:line="28" w:lineRule="exact"/>
        <w:rPr>
          <w:sz w:val="20"/>
          <w:szCs w:val="20"/>
          <w:color w:val="auto"/>
        </w:rPr>
      </w:pPr>
    </w:p>
    <w:p>
      <w:pPr>
        <w:ind w:left="20" w:right="460"/>
        <w:spacing w:after="0" w:line="294" w:lineRule="auto"/>
        <w:rPr>
          <w:sz w:val="20"/>
          <w:szCs w:val="20"/>
          <w:color w:val="auto"/>
        </w:rPr>
      </w:pPr>
      <w:r>
        <w:rPr>
          <w:rFonts w:ascii="Times New Roman" w:cs="Times New Roman" w:eastAsia="Times New Roman" w:hAnsi="Times New Roman"/>
          <w:sz w:val="20"/>
          <w:szCs w:val="20"/>
          <w:b w:val="1"/>
          <w:bCs w:val="1"/>
          <w:color w:val="auto"/>
        </w:rPr>
        <w:t xml:space="preserve">Liabilities and Stockholders' Equity </w:t>
      </w:r>
      <w:r>
        <w:rPr>
          <w:rFonts w:ascii="Times New Roman" w:cs="Times New Roman" w:eastAsia="Times New Roman" w:hAnsi="Times New Roman"/>
          <w:sz w:val="20"/>
          <w:szCs w:val="20"/>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3620"/>
        <w:spacing w:after="0" w:line="319" w:lineRule="auto"/>
        <w:rPr>
          <w:sz w:val="20"/>
          <w:szCs w:val="20"/>
          <w:color w:val="auto"/>
        </w:rPr>
      </w:pPr>
      <w:r>
        <w:rPr>
          <w:rFonts w:ascii="Times New Roman" w:cs="Times New Roman" w:eastAsia="Times New Roman" w:hAnsi="Times New Roman"/>
          <w:sz w:val="20"/>
          <w:szCs w:val="20"/>
          <w:b w:val="1"/>
          <w:bCs w:val="1"/>
          <w:color w:val="auto"/>
        </w:rPr>
        <w:t>Black Diamond Therapeutics, Inc. Consolidated Balance Sheets (in thousands, except share and per share data)</w:t>
      </w:r>
    </w:p>
    <w:p>
      <w:pPr>
        <w:spacing w:after="0" w:line="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2965450</wp:posOffset>
            </wp:positionH>
            <wp:positionV relativeFrom="paragraph">
              <wp:posOffset>22860</wp:posOffset>
            </wp:positionV>
            <wp:extent cx="18599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74" w:lineRule="exact"/>
        <w:rPr>
          <w:sz w:val="20"/>
          <w:szCs w:val="20"/>
          <w:color w:val="auto"/>
        </w:rPr>
      </w:pPr>
    </w:p>
    <w:tbl>
      <w:tblPr>
        <w:tblLayout w:type="fixed"/>
        <w:tblInd w:w="4680" w:type="dxa"/>
        <w:tblCellMar>
          <w:top w:w="0" w:type="dxa"/>
          <w:left w:w="0" w:type="dxa"/>
          <w:bottom w:w="0" w:type="dxa"/>
          <w:right w:w="0" w:type="dxa"/>
        </w:tblCellMar>
      </w:tblPr>
      <w:tr>
        <w:trPr>
          <w:trHeight w:val="262"/>
        </w:trPr>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r>
      <w:tr>
        <w:trPr>
          <w:trHeight w:val="919"/>
        </w:trPr>
        <w:tc>
          <w:tcPr>
            <w:tcW w:w="3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20,990</w:t>
            </w:r>
          </w:p>
        </w:tc>
        <w:tc>
          <w:tcPr>
            <w:tcW w:w="100" w:type="dxa"/>
            <w:vAlign w:val="bottom"/>
          </w:tcPr>
          <w:p>
            <w:pPr>
              <w:spacing w:after="0"/>
              <w:rPr>
                <w:sz w:val="24"/>
                <w:szCs w:val="24"/>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36,437</w:t>
            </w:r>
          </w:p>
        </w:tc>
      </w:tr>
      <w:tr>
        <w:trPr>
          <w:trHeight w:val="258"/>
        </w:trPr>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107,662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62,138</w:t>
            </w:r>
          </w:p>
        </w:tc>
      </w:tr>
      <w:tr>
        <w:trPr>
          <w:trHeight w:val="314"/>
        </w:trPr>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3,788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2,601</w:t>
            </w:r>
          </w:p>
        </w:tc>
      </w:tr>
      <w:tr>
        <w:trPr>
          <w:trHeight w:val="287"/>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132,440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101,176</w:t>
            </w:r>
          </w:p>
        </w:tc>
      </w:tr>
      <w:tr>
        <w:trPr>
          <w:trHeight w:val="311"/>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1,387</w:t>
            </w:r>
          </w:p>
        </w:tc>
      </w:tr>
      <w:tr>
        <w:trPr>
          <w:trHeight w:val="309"/>
        </w:trPr>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w:t>
            </w:r>
          </w:p>
        </w:tc>
      </w:tr>
      <w:tr>
        <w:trPr>
          <w:trHeight w:val="258"/>
        </w:trPr>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19,009</w:t>
            </w:r>
          </w:p>
        </w:tc>
      </w:tr>
      <w:tr>
        <w:trPr>
          <w:trHeight w:val="314"/>
        </w:trPr>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w:t>
            </w:r>
          </w:p>
        </w:tc>
      </w:tr>
      <w:tr>
        <w:trPr>
          <w:trHeight w:val="263"/>
        </w:trPr>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143,010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122,640</w:t>
            </w:r>
          </w:p>
        </w:tc>
      </w:tr>
      <w:tr>
        <w:trPr>
          <w:trHeight w:val="24"/>
        </w:trPr>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-2125345</wp:posOffset>
            </wp:positionV>
            <wp:extent cx="7132320" cy="205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-1722120</wp:posOffset>
            </wp:positionV>
            <wp:extent cx="7132320"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-1362075</wp:posOffset>
            </wp:positionV>
            <wp:extent cx="7132320" cy="196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-967740</wp:posOffset>
            </wp:positionV>
            <wp:extent cx="7132320" cy="1974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-573405</wp:posOffset>
            </wp:positionV>
            <wp:extent cx="71323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-213360</wp:posOffset>
            </wp:positionV>
            <wp:extent cx="7132320" cy="196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-2305685</wp:posOffset>
            </wp:positionH>
            <wp:positionV relativeFrom="paragraph">
              <wp:posOffset>146050</wp:posOffset>
            </wp:positionV>
            <wp:extent cx="713232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0" w:lineRule="exact"/>
        <w:rPr>
          <w:sz w:val="20"/>
          <w:szCs w:val="20"/>
          <w:color w:val="auto"/>
        </w:rPr>
      </w:pPr>
    </w:p>
    <w:p>
      <w:pPr>
        <w:sectPr>
          <w:pgSz w:w="11900" w:h="16838" w:orient="portrait"/>
          <w:cols w:equalWidth="0" w:num="2">
            <w:col w:w="3520" w:space="120"/>
            <w:col w:w="760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w:t>
            </w:r>
          </w:p>
        </w:tc>
        <w:tc>
          <w:tcPr>
            <w:tcW w:w="100" w:type="dxa"/>
            <w:vAlign w:val="bottom"/>
          </w:tcPr>
          <w:p>
            <w:pPr>
              <w:spacing w:after="0"/>
              <w:rPr>
                <w:sz w:val="22"/>
                <w:szCs w:val="22"/>
                <w:color w:val="auto"/>
              </w:rPr>
            </w:pP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4,007</w:t>
            </w:r>
          </w:p>
        </w:tc>
        <w:tc>
          <w:tcPr>
            <w:tcW w:w="0" w:type="dxa"/>
            <w:vAlign w:val="bottom"/>
          </w:tcPr>
          <w:p>
            <w:pPr>
              <w:spacing w:after="0"/>
              <w:rPr>
                <w:sz w:val="1"/>
                <w:szCs w:val="1"/>
                <w:color w:val="auto"/>
              </w:rPr>
            </w:pPr>
          </w:p>
        </w:tc>
      </w:tr>
      <w:tr>
        <w:trPr>
          <w:trHeight w:val="311"/>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15,152</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16,566</w:t>
            </w:r>
          </w:p>
        </w:tc>
        <w:tc>
          <w:tcPr>
            <w:tcW w:w="0" w:type="dxa"/>
            <w:vAlign w:val="bottom"/>
          </w:tcPr>
          <w:p>
            <w:pPr>
              <w:spacing w:after="0"/>
              <w:rPr>
                <w:sz w:val="1"/>
                <w:szCs w:val="1"/>
                <w:color w:val="auto"/>
              </w:rPr>
            </w:pPr>
          </w:p>
        </w:tc>
      </w:tr>
      <w:tr>
        <w:trPr>
          <w:trHeight w:val="290"/>
        </w:trPr>
        <w:tc>
          <w:tcPr>
            <w:tcW w:w="83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20,573</w:t>
            </w:r>
          </w:p>
        </w:tc>
        <w:tc>
          <w:tcPr>
            <w:tcW w:w="0" w:type="dxa"/>
            <w:vAlign w:val="bottom"/>
          </w:tcPr>
          <w:p>
            <w:pPr>
              <w:spacing w:after="0"/>
              <w:rPr>
                <w:sz w:val="1"/>
                <w:szCs w:val="1"/>
                <w:color w:val="auto"/>
              </w:rPr>
            </w:pPr>
          </w:p>
        </w:tc>
      </w:tr>
      <w:tr>
        <w:trPr>
          <w:trHeight w:val="26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Non-current operating lease liability</w:t>
            </w:r>
          </w:p>
        </w:tc>
        <w:tc>
          <w:tcPr>
            <w:tcW w:w="3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15,068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18,782</w:t>
            </w:r>
          </w:p>
        </w:tc>
        <w:tc>
          <w:tcPr>
            <w:tcW w:w="0" w:type="dxa"/>
            <w:vAlign w:val="bottom"/>
          </w:tcPr>
          <w:p>
            <w:pPr>
              <w:spacing w:after="0"/>
              <w:rPr>
                <w:sz w:val="1"/>
                <w:szCs w:val="1"/>
                <w:color w:val="auto"/>
              </w:rPr>
            </w:pPr>
          </w:p>
        </w:tc>
      </w:tr>
      <w:tr>
        <w:trPr>
          <w:trHeight w:val="287"/>
        </w:trPr>
        <w:tc>
          <w:tcPr>
            <w:tcW w:w="8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20"/>
                <w:szCs w:val="20"/>
                <w:color w:val="auto"/>
              </w:rPr>
              <w:t>Total liabilities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30,799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39,355</w:t>
            </w:r>
          </w:p>
        </w:tc>
        <w:tc>
          <w:tcPr>
            <w:tcW w:w="0" w:type="dxa"/>
            <w:vAlign w:val="bottom"/>
          </w:tcPr>
          <w:p>
            <w:pPr>
              <w:spacing w:after="0"/>
              <w:rPr>
                <w:sz w:val="1"/>
                <w:szCs w:val="1"/>
                <w:color w:val="auto"/>
              </w:rPr>
            </w:pPr>
          </w:p>
        </w:tc>
      </w:tr>
      <w:tr>
        <w:trPr>
          <w:trHeight w:val="29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Commitments and contingencies (Note 12)</w:t>
            </w:r>
          </w:p>
        </w:tc>
        <w:tc>
          <w:tcPr>
            <w:tcW w:w="3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7"/>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Stockholders' equity:</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8320" w:type="dxa"/>
            <w:vAlign w:val="bottom"/>
            <w:shd w:val="clear" w:color="auto" w:fill="CCEEFF"/>
          </w:tcPr>
          <w:p>
            <w:pPr>
              <w:ind w:left="180"/>
              <w:spacing w:after="0" w:line="193" w:lineRule="exact"/>
              <w:rPr>
                <w:sz w:val="20"/>
                <w:szCs w:val="20"/>
                <w:color w:val="auto"/>
              </w:rPr>
            </w:pPr>
            <w:r>
              <w:rPr>
                <w:rFonts w:ascii="Times New Roman" w:cs="Times New Roman" w:eastAsia="Times New Roman" w:hAnsi="Times New Roman"/>
                <w:sz w:val="20"/>
                <w:szCs w:val="20"/>
                <w:color w:val="auto"/>
              </w:rPr>
              <w:t>Preferred stock, $0.0001 par value; 10,000,000 shares and 10,000,000 shares authorized at</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shd w:val="clear" w:color="auto" w:fill="CCEEFF"/>
          </w:tcPr>
          <w:p>
            <w:pPr>
              <w:ind w:left="360"/>
              <w:spacing w:after="0" w:line="193" w:lineRule="exact"/>
              <w:rPr>
                <w:sz w:val="20"/>
                <w:szCs w:val="20"/>
                <w:color w:val="auto"/>
              </w:rPr>
            </w:pPr>
            <w:r>
              <w:rPr>
                <w:rFonts w:ascii="Times New Roman" w:cs="Times New Roman" w:eastAsia="Times New Roman" w:hAnsi="Times New Roman"/>
                <w:sz w:val="20"/>
                <w:szCs w:val="20"/>
                <w:color w:val="auto"/>
              </w:rPr>
              <w:t>December 31, 2025 and 2024, respectively; no shares issued or outstanding at December 31, 2025</w:t>
            </w:r>
          </w:p>
        </w:tc>
        <w:tc>
          <w:tcPr>
            <w:tcW w:w="360" w:type="dxa"/>
            <w:vAlign w:val="bottom"/>
            <w:shd w:val="clear" w:color="auto" w:fill="CCEEFF"/>
          </w:tcPr>
          <w:p>
            <w:pPr>
              <w:spacing w:after="0"/>
              <w:rPr>
                <w:sz w:val="16"/>
                <w:szCs w:val="16"/>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6"/>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and 2024</w:t>
            </w:r>
          </w:p>
        </w:tc>
        <w:tc>
          <w:tcPr>
            <w:tcW w:w="360" w:type="dxa"/>
            <w:vAlign w:val="bottom"/>
            <w:shd w:val="clear" w:color="auto" w:fill="CCEEFF"/>
          </w:tcPr>
          <w:p>
            <w:pPr>
              <w:spacing w:after="0"/>
              <w:rPr>
                <w:sz w:val="23"/>
                <w:szCs w:val="23"/>
                <w:color w:val="auto"/>
              </w:rPr>
            </w:pPr>
          </w:p>
        </w:tc>
        <w:tc>
          <w:tcPr>
            <w:tcW w:w="1140" w:type="dxa"/>
            <w:vAlign w:val="bottom"/>
            <w:gridSpan w:val="2"/>
            <w:vMerge w:val="continue"/>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60" w:type="dxa"/>
            <w:vAlign w:val="bottom"/>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8320" w:type="dxa"/>
            <w:vAlign w:val="bottom"/>
          </w:tcPr>
          <w:p>
            <w:pPr>
              <w:ind w:left="180"/>
              <w:spacing w:after="0" w:line="189" w:lineRule="exact"/>
              <w:rPr>
                <w:sz w:val="20"/>
                <w:szCs w:val="20"/>
                <w:color w:val="auto"/>
              </w:rPr>
            </w:pPr>
            <w:r>
              <w:rPr>
                <w:rFonts w:ascii="Times New Roman" w:cs="Times New Roman" w:eastAsia="Times New Roman" w:hAnsi="Times New Roman"/>
                <w:sz w:val="20"/>
                <w:szCs w:val="20"/>
                <w:color w:val="auto"/>
              </w:rPr>
              <w:t>Common stock; $0.0001 par value; 500,000,000 shares authorized at December 31, 2025 and</w:t>
            </w: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20" w:type="dxa"/>
            <w:vAlign w:val="bottom"/>
          </w:tcPr>
          <w:p>
            <w:pPr>
              <w:ind w:left="360"/>
              <w:spacing w:after="0" w:line="193" w:lineRule="exact"/>
              <w:rPr>
                <w:sz w:val="20"/>
                <w:szCs w:val="20"/>
                <w:color w:val="auto"/>
              </w:rPr>
            </w:pPr>
            <w:r>
              <w:rPr>
                <w:rFonts w:ascii="Times New Roman" w:cs="Times New Roman" w:eastAsia="Times New Roman" w:hAnsi="Times New Roman"/>
                <w:sz w:val="20"/>
                <w:szCs w:val="20"/>
                <w:color w:val="auto"/>
              </w:rPr>
              <w:t>500,000,000 shares authorized at December 31, 2024; 57,138,057 shares issued and outstanding at</w:t>
            </w:r>
          </w:p>
        </w:tc>
        <w:tc>
          <w:tcPr>
            <w:tcW w:w="3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62"/>
        </w:trPr>
        <w:tc>
          <w:tcPr>
            <w:tcW w:w="8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31, 2025 and 56,644,655 shares issued and outstanding at December 31, 2024</w:t>
            </w:r>
          </w:p>
        </w:tc>
        <w:tc>
          <w:tcPr>
            <w:tcW w:w="3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4"/>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576,842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570,361</w:t>
            </w:r>
          </w:p>
        </w:tc>
        <w:tc>
          <w:tcPr>
            <w:tcW w:w="0" w:type="dxa"/>
            <w:vAlign w:val="bottom"/>
          </w:tcPr>
          <w:p>
            <w:pPr>
              <w:spacing w:after="0"/>
              <w:rPr>
                <w:sz w:val="1"/>
                <w:szCs w:val="1"/>
                <w:color w:val="auto"/>
              </w:rPr>
            </w:pPr>
          </w:p>
        </w:tc>
      </w:tr>
      <w:tr>
        <w:trPr>
          <w:trHeight w:val="257"/>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3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307"/>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Accumulated deficit</w:t>
            </w:r>
          </w:p>
        </w:tc>
        <w:tc>
          <w:tcPr>
            <w:tcW w:w="36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(464,740)</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(487,107)</w:t>
            </w:r>
          </w:p>
        </w:tc>
        <w:tc>
          <w:tcPr>
            <w:tcW w:w="0" w:type="dxa"/>
            <w:vAlign w:val="bottom"/>
          </w:tcPr>
          <w:p>
            <w:pPr>
              <w:spacing w:after="0"/>
              <w:rPr>
                <w:sz w:val="1"/>
                <w:szCs w:val="1"/>
                <w:color w:val="auto"/>
              </w:rPr>
            </w:pPr>
          </w:p>
        </w:tc>
      </w:tr>
      <w:tr>
        <w:trPr>
          <w:trHeight w:val="290"/>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112,211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83,285</w:t>
            </w:r>
          </w:p>
        </w:tc>
        <w:tc>
          <w:tcPr>
            <w:tcW w:w="0" w:type="dxa"/>
            <w:vAlign w:val="bottom"/>
          </w:tcPr>
          <w:p>
            <w:pPr>
              <w:spacing w:after="0"/>
              <w:rPr>
                <w:sz w:val="1"/>
                <w:szCs w:val="1"/>
                <w:color w:val="auto"/>
              </w:rPr>
            </w:pPr>
          </w:p>
        </w:tc>
      </w:tr>
      <w:tr>
        <w:trPr>
          <w:trHeight w:val="292"/>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36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143,010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122,640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30"/>
        </w:trPr>
        <w:tc>
          <w:tcPr>
            <w:tcW w:w="832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863"/>
        </w:trPr>
        <w:tc>
          <w:tcPr>
            <w:tcW w:w="1420" w:type="dxa"/>
            <w:vAlign w:val="bottom"/>
            <w:tcBorders>
              <w:top w:val="single" w:sz="8" w:color="0000FF"/>
            </w:tcBorders>
          </w:tcPr>
          <w:p>
            <w:pPr>
              <w:spacing w:after="0"/>
              <w:rPr>
                <w:sz w:val="24"/>
                <w:szCs w:val="24"/>
                <w:color w:val="auto"/>
              </w:rPr>
            </w:pPr>
          </w:p>
        </w:tc>
        <w:tc>
          <w:tcPr>
            <w:tcW w:w="6900" w:type="dxa"/>
            <w:vAlign w:val="bottom"/>
          </w:tcPr>
          <w:p>
            <w:pPr>
              <w:jc w:val="center"/>
              <w:ind w:left="1421"/>
              <w:spacing w:after="0"/>
              <w:rPr>
                <w:sz w:val="20"/>
                <w:szCs w:val="20"/>
                <w:color w:val="auto"/>
              </w:rPr>
            </w:pPr>
            <w:r>
              <w:rPr>
                <w:rFonts w:ascii="Times New Roman" w:cs="Times New Roman" w:eastAsia="Times New Roman" w:hAnsi="Times New Roman"/>
                <w:sz w:val="20"/>
                <w:szCs w:val="20"/>
                <w:b w:val="1"/>
                <w:bCs w:val="1"/>
                <w:color w:val="auto"/>
                <w:w w:val="99"/>
              </w:rPr>
              <w:t>Black Diamond Therapeutics, Inc.</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97"/>
        </w:trPr>
        <w:tc>
          <w:tcPr>
            <w:tcW w:w="1420" w:type="dxa"/>
            <w:vAlign w:val="bottom"/>
          </w:tcPr>
          <w:p>
            <w:pPr>
              <w:spacing w:after="0"/>
              <w:rPr>
                <w:sz w:val="24"/>
                <w:szCs w:val="24"/>
                <w:color w:val="auto"/>
              </w:rPr>
            </w:pPr>
          </w:p>
        </w:tc>
        <w:tc>
          <w:tcPr>
            <w:tcW w:w="840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Consolidated Statements of Operations and Comprehensive Income (Loss)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3"/>
        </w:trPr>
        <w:tc>
          <w:tcPr>
            <w:tcW w:w="1420" w:type="dxa"/>
            <w:vAlign w:val="bottom"/>
          </w:tcPr>
          <w:p>
            <w:pPr>
              <w:spacing w:after="0"/>
              <w:rPr>
                <w:sz w:val="24"/>
                <w:szCs w:val="24"/>
                <w:color w:val="auto"/>
              </w:rPr>
            </w:pPr>
          </w:p>
        </w:tc>
        <w:tc>
          <w:tcPr>
            <w:tcW w:w="6900" w:type="dxa"/>
            <w:vAlign w:val="bottom"/>
          </w:tcPr>
          <w:p>
            <w:pPr>
              <w:jc w:val="center"/>
              <w:ind w:left="1421"/>
              <w:spacing w:after="0"/>
              <w:rPr>
                <w:sz w:val="20"/>
                <w:szCs w:val="20"/>
                <w:color w:val="auto"/>
              </w:rPr>
            </w:pPr>
            <w:r>
              <w:rPr>
                <w:rFonts w:ascii="Times New Roman" w:cs="Times New Roman" w:eastAsia="Times New Roman" w:hAnsi="Times New Roman"/>
                <w:sz w:val="20"/>
                <w:szCs w:val="20"/>
                <w:b w:val="1"/>
                <w:bCs w:val="1"/>
                <w:color w:val="auto"/>
                <w:w w:val="98"/>
              </w:rPr>
              <w:t>(in thousands, except share and per share data)</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1"/>
        </w:trPr>
        <w:tc>
          <w:tcPr>
            <w:tcW w:w="14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91"/>
        </w:trPr>
        <w:tc>
          <w:tcPr>
            <w:tcW w:w="1420" w:type="dxa"/>
            <w:vAlign w:val="bottom"/>
            <w:tcBorders>
              <w:bottom w:val="single" w:sz="8" w:color="CCEEFF"/>
            </w:tcBorders>
          </w:tcPr>
          <w:p>
            <w:pPr>
              <w:spacing w:after="0"/>
              <w:rPr>
                <w:sz w:val="24"/>
                <w:szCs w:val="24"/>
                <w:color w:val="auto"/>
              </w:rPr>
            </w:pPr>
          </w:p>
        </w:tc>
        <w:tc>
          <w:tcPr>
            <w:tcW w:w="69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r>
      <w:tr>
        <w:trPr>
          <w:trHeight w:val="294"/>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License revenue</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Operating expenses:</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33,558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51,312</w:t>
            </w:r>
          </w:p>
        </w:tc>
      </w:tr>
      <w:tr>
        <w:trPr>
          <w:trHeight w:val="257"/>
        </w:trPr>
        <w:tc>
          <w:tcPr>
            <w:tcW w:w="83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16,572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27,469</w:t>
            </w:r>
          </w:p>
        </w:tc>
      </w:tr>
      <w:tr>
        <w:trPr>
          <w:trHeight w:val="257"/>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Impairment of right-of-use assets and property and equipment</w:t>
            </w: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7,348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8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57,478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78,781</w:t>
            </w:r>
          </w:p>
        </w:tc>
      </w:tr>
      <w:tr>
        <w:trPr>
          <w:trHeight w:val="25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Income (loss) from operations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(78,781)</w:t>
            </w:r>
          </w:p>
        </w:tc>
      </w:tr>
      <w:tr>
        <w:trPr>
          <w:trHeight w:val="256"/>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income (expense):</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8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Interest income</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2,182</w:t>
            </w:r>
          </w:p>
        </w:tc>
      </w:tr>
      <w:tr>
        <w:trPr>
          <w:trHeight w:val="257"/>
        </w:trPr>
        <w:tc>
          <w:tcPr>
            <w:tcW w:w="8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20"/>
                <w:szCs w:val="20"/>
                <w:color w:val="auto"/>
              </w:rPr>
              <w:t>Other income (expense)</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5,784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6,923</w:t>
            </w:r>
          </w:p>
        </w:tc>
      </w:tr>
      <w:tr>
        <w:trPr>
          <w:trHeight w:val="25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other income (expense), net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9,845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9,105</w:t>
            </w:r>
          </w:p>
        </w:tc>
      </w:tr>
      <w:tr>
        <w:trPr>
          <w:trHeight w:val="25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22,367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(69,676)</w:t>
            </w:r>
          </w:p>
        </w:tc>
      </w:tr>
      <w:tr>
        <w:trPr>
          <w:trHeight w:val="20"/>
        </w:trPr>
        <w:tc>
          <w:tcPr>
            <w:tcW w:w="1420" w:type="dxa"/>
            <w:vAlign w:val="bottom"/>
            <w:tcBorders>
              <w:bottom w:val="single" w:sz="8" w:color="CCEEFF"/>
            </w:tcBorders>
          </w:tcPr>
          <w:p>
            <w:pPr>
              <w:spacing w:after="0" w:line="20" w:lineRule="exact"/>
              <w:rPr>
                <w:sz w:val="1"/>
                <w:szCs w:val="1"/>
                <w:color w:val="auto"/>
              </w:rPr>
            </w:pPr>
          </w:p>
        </w:tc>
        <w:tc>
          <w:tcPr>
            <w:tcW w:w="6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142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income (loss) per share - basic</w:t>
            </w: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100" w:type="dxa"/>
            <w:vAlign w:val="bottom"/>
          </w:tcPr>
          <w:p>
            <w:pPr>
              <w:spacing w:after="0"/>
              <w:rPr>
                <w:sz w:val="22"/>
                <w:szCs w:val="22"/>
                <w:color w:val="auto"/>
              </w:rPr>
            </w:pPr>
          </w:p>
        </w:tc>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57"/>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 per share - diluted</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70"/>
        </w:trPr>
        <w:tc>
          <w:tcPr>
            <w:tcW w:w="8320" w:type="dxa"/>
            <w:vAlign w:val="bottom"/>
            <w:gridSpan w:val="2"/>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 average common shares outstanding - basic</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56,868,111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55,028,371</w:t>
            </w:r>
          </w:p>
        </w:tc>
      </w:tr>
      <w:tr>
        <w:trPr>
          <w:trHeight w:val="257"/>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Weighted average common shares outstanding - diluted</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57,562,746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55,028,371</w:t>
            </w:r>
          </w:p>
        </w:tc>
      </w:tr>
      <w:tr>
        <w:trPr>
          <w:trHeight w:val="270"/>
        </w:trPr>
        <w:tc>
          <w:tcPr>
            <w:tcW w:w="8320" w:type="dxa"/>
            <w:vAlign w:val="bottom"/>
            <w:gridSpan w:val="2"/>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56"/>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Comprehensive income (loss):</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22,367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(69,676)</w:t>
            </w:r>
          </w:p>
        </w:tc>
      </w:tr>
      <w:tr>
        <w:trPr>
          <w:trHeight w:val="256"/>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Other comprehensive (loss) income:</w:t>
            </w: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 in unrealized (loss) gain on investments, net</w:t>
            </w: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5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Comprehensive income (loss)</w:t>
            </w: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22,444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(69,625)</w:t>
            </w:r>
          </w:p>
        </w:tc>
      </w:tr>
      <w:tr>
        <w:trPr>
          <w:trHeight w:val="20"/>
        </w:trPr>
        <w:tc>
          <w:tcPr>
            <w:tcW w:w="14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30"/>
        </w:trPr>
        <w:tc>
          <w:tcPr>
            <w:tcW w:w="826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Table of Contents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0"/>
        </w:trPr>
        <w:tc>
          <w:tcPr>
            <w:tcW w:w="60" w:type="dxa"/>
            <w:vAlign w:val="bottom"/>
            <w:tcBorders>
              <w:top w:val="single" w:sz="8" w:color="0000FF"/>
            </w:tcBorders>
          </w:tcPr>
          <w:p>
            <w:pPr>
              <w:spacing w:after="0"/>
              <w:rPr>
                <w:sz w:val="24"/>
                <w:szCs w:val="24"/>
                <w:color w:val="auto"/>
              </w:rPr>
            </w:pPr>
          </w:p>
        </w:tc>
        <w:tc>
          <w:tcPr>
            <w:tcW w:w="1360" w:type="dxa"/>
            <w:vAlign w:val="bottom"/>
            <w:tcBorders>
              <w:top w:val="single" w:sz="8" w:color="0000FF"/>
            </w:tcBorders>
          </w:tcPr>
          <w:p>
            <w:pPr>
              <w:spacing w:after="0"/>
              <w:rPr>
                <w:sz w:val="24"/>
                <w:szCs w:val="24"/>
                <w:color w:val="auto"/>
              </w:rPr>
            </w:pPr>
          </w:p>
        </w:tc>
        <w:tc>
          <w:tcPr>
            <w:tcW w:w="6840" w:type="dxa"/>
            <w:vAlign w:val="bottom"/>
          </w:tcPr>
          <w:p>
            <w:pPr>
              <w:jc w:val="center"/>
              <w:ind w:left="1481"/>
              <w:spacing w:after="0"/>
              <w:rPr>
                <w:sz w:val="20"/>
                <w:szCs w:val="20"/>
                <w:color w:val="auto"/>
              </w:rPr>
            </w:pPr>
            <w:r>
              <w:rPr>
                <w:rFonts w:ascii="Times New Roman" w:cs="Times New Roman" w:eastAsia="Times New Roman" w:hAnsi="Times New Roman"/>
                <w:sz w:val="20"/>
                <w:szCs w:val="20"/>
                <w:b w:val="1"/>
                <w:bCs w:val="1"/>
                <w:color w:val="auto"/>
                <w:w w:val="99"/>
              </w:rPr>
              <w:t>Black Diamond Therapeutics, Inc.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40" w:type="dxa"/>
            <w:vAlign w:val="bottom"/>
          </w:tcPr>
          <w:p>
            <w:pPr>
              <w:jc w:val="center"/>
              <w:ind w:left="1461"/>
              <w:spacing w:after="0"/>
              <w:rPr>
                <w:sz w:val="20"/>
                <w:szCs w:val="20"/>
                <w:color w:val="auto"/>
              </w:rPr>
            </w:pPr>
            <w:r>
              <w:rPr>
                <w:rFonts w:ascii="Times New Roman" w:cs="Times New Roman" w:eastAsia="Times New Roman" w:hAnsi="Times New Roman"/>
                <w:sz w:val="20"/>
                <w:szCs w:val="20"/>
                <w:b w:val="1"/>
                <w:bCs w:val="1"/>
                <w:color w:val="auto"/>
                <w:w w:val="98"/>
              </w:rPr>
              <w:t>Consolidated Statements of Cash Flows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40" w:type="dxa"/>
            <w:vAlign w:val="bottom"/>
          </w:tcPr>
          <w:p>
            <w:pPr>
              <w:jc w:val="center"/>
              <w:ind w:left="1461"/>
              <w:spacing w:after="0"/>
              <w:rPr>
                <w:sz w:val="20"/>
                <w:szCs w:val="20"/>
                <w:color w:val="auto"/>
              </w:rPr>
            </w:pPr>
            <w:r>
              <w:rPr>
                <w:rFonts w:ascii="Times New Roman" w:cs="Times New Roman" w:eastAsia="Times New Roman" w:hAnsi="Times New Roman"/>
                <w:sz w:val="20"/>
                <w:szCs w:val="20"/>
                <w:b w:val="1"/>
                <w:bCs w:val="1"/>
                <w:color w:val="auto"/>
                <w:w w:val="98"/>
              </w:rPr>
              <w:t>(in thousands)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321"/>
              <w:spacing w:after="0"/>
              <w:rPr>
                <w:sz w:val="20"/>
                <w:szCs w:val="20"/>
                <w:color w:val="auto"/>
              </w:rPr>
            </w:pPr>
            <w:r>
              <w:rPr>
                <w:rFonts w:ascii="Times New Roman" w:cs="Times New Roman" w:eastAsia="Times New Roman" w:hAnsi="Times New Roman"/>
                <w:sz w:val="20"/>
                <w:szCs w:val="20"/>
                <w:color w:val="auto"/>
              </w:rPr>
              <w:t>Year Ended December 31,</w:t>
            </w: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8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60" w:type="dxa"/>
            <w:vAlign w:val="bottom"/>
          </w:tcPr>
          <w:p>
            <w:pPr>
              <w:spacing w:after="0"/>
              <w:rPr>
                <w:sz w:val="5"/>
                <w:szCs w:val="5"/>
                <w:color w:val="auto"/>
              </w:rPr>
            </w:pPr>
          </w:p>
        </w:tc>
        <w:tc>
          <w:tcPr>
            <w:tcW w:w="8200" w:type="dxa"/>
            <w:vAlign w:val="bottom"/>
            <w:gridSpan w:val="2"/>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22,367</w:t>
            </w:r>
          </w:p>
        </w:tc>
        <w:tc>
          <w:tcPr>
            <w:tcW w:w="8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(69,676)</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Adjustment to reconcile net income (loss) to net cash used in operating activities: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10,627</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Depreciation expense</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(Accretion) amortization on investments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(3,782)</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Non-cash rent expense</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2,971</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Gain on sale of investments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Impairment of right-of-use assets and property and equipment</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7,348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Gain on sale of property and equipment</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Other non-current assets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Accounts payable</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(3,428)</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1,683</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(756)</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20"/>
                <w:szCs w:val="20"/>
                <w:color w:val="auto"/>
              </w:rPr>
              <w:t>Non-current operating lease liability</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(3,713)</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Net cash provided by (used in) operating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29,614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(62,303)</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Proceeds from disposal of equipment</w:t>
            </w:r>
          </w:p>
        </w:tc>
        <w:tc>
          <w:tcPr>
            <w:tcW w:w="2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Proceeds from sales and maturities of investments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119,094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139,750</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Purchases of investments</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(164,026)</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(122,876)</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(44,905)</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16,968</w:t>
            </w: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82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20"/>
                <w:szCs w:val="20"/>
                <w:color w:val="auto"/>
              </w:rPr>
              <w:t>Proceeds from exercise of common stock options and ESPP, net of restricted stock surrendered for</w:t>
            </w:r>
          </w:p>
        </w:tc>
        <w:tc>
          <w:tcPr>
            <w:tcW w:w="2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taxes</w:t>
            </w:r>
          </w:p>
        </w:tc>
        <w:tc>
          <w:tcPr>
            <w:tcW w:w="2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Proceeds from issuance of common stock, net of issuance costs</w:t>
            </w:r>
          </w:p>
        </w:tc>
        <w:tc>
          <w:tcPr>
            <w:tcW w:w="26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24,494</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2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2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w:t>
            </w:r>
          </w:p>
        </w:tc>
        <w:tc>
          <w:tcPr>
            <w:tcW w:w="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25,547</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(decrease) increase in cash and cash equivalents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(15,437)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(19,788)</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Cash, cash equivalents and restricted cash, beginning of year</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37,256</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57,044</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end of year</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21,819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37,256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Cash and cash equivalents, end of year</w:t>
            </w:r>
          </w:p>
        </w:tc>
        <w:tc>
          <w:tcPr>
            <w:tcW w:w="2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20,990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36,437</w:t>
            </w: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20"/>
                <w:szCs w:val="20"/>
                <w:color w:val="auto"/>
              </w:rPr>
              <w:t>Restricted cash, end of year</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829</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819</w:t>
            </w:r>
          </w:p>
        </w:tc>
        <w:tc>
          <w:tcPr>
            <w:tcW w:w="0" w:type="dxa"/>
            <w:vAlign w:val="bottom"/>
          </w:tcPr>
          <w:p>
            <w:pPr>
              <w:spacing w:after="0"/>
              <w:rPr>
                <w:sz w:val="1"/>
                <w:szCs w:val="1"/>
                <w:color w:val="auto"/>
              </w:rPr>
            </w:pPr>
          </w:p>
        </w:tc>
      </w:tr>
      <w:tr>
        <w:trPr>
          <w:trHeight w:val="275"/>
        </w:trPr>
        <w:tc>
          <w:tcPr>
            <w:tcW w:w="60" w:type="dxa"/>
            <w:vAlign w:val="bottom"/>
          </w:tcPr>
          <w:p>
            <w:pPr>
              <w:spacing w:after="0"/>
              <w:rPr>
                <w:sz w:val="23"/>
                <w:szCs w:val="23"/>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end of year</w:t>
            </w:r>
          </w:p>
        </w:tc>
        <w:tc>
          <w:tcPr>
            <w:tcW w:w="2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21,819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37,256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0"/>
          <w:szCs w:val="20"/>
          <w:b w:val="1"/>
          <w:bCs w:val="1"/>
          <w:color w:val="auto"/>
        </w:rPr>
        <w:t>Black Diamond Therapeutics, Inc.</w:t>
      </w:r>
    </w:p>
    <w:p>
      <w:pPr>
        <w:spacing w:after="0" w:line="6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5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96" w:lineRule="exact"/>
        <w:rPr>
          <w:sz w:val="20"/>
          <w:szCs w:val="20"/>
          <w:color w:val="auto"/>
        </w:rPr>
      </w:pPr>
    </w:p>
    <w:tbl>
      <w:tblPr>
        <w:tblLayout w:type="fixed"/>
        <w:tblInd w:w="82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9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Additional</w:t>
            </w:r>
          </w:p>
        </w:tc>
        <w:tc>
          <w:tcPr>
            <w:tcW w:w="112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Accumulated</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9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color w:val="auto"/>
              </w:rPr>
              <w:t>paid-in</w:t>
            </w:r>
          </w:p>
        </w:tc>
        <w:tc>
          <w:tcPr>
            <w:tcW w:w="240" w:type="dxa"/>
            <w:vAlign w:val="bottom"/>
          </w:tcPr>
          <w:p>
            <w:pPr>
              <w:spacing w:after="0"/>
              <w:rPr>
                <w:sz w:val="14"/>
                <w:szCs w:val="14"/>
                <w:color w:val="auto"/>
              </w:rPr>
            </w:pPr>
          </w:p>
        </w:tc>
        <w:tc>
          <w:tcPr>
            <w:tcW w:w="8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2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020" w:type="dxa"/>
            <w:vAlign w:val="bottom"/>
            <w:gridSpan w:val="3"/>
            <w:vMerge w:val="restart"/>
          </w:tcPr>
          <w:p>
            <w:pPr>
              <w:ind w:left="40"/>
              <w:spacing w:after="0" w:line="162" w:lineRule="exact"/>
              <w:rPr>
                <w:sz w:val="20"/>
                <w:szCs w:val="20"/>
                <w:color w:val="auto"/>
              </w:rPr>
            </w:pPr>
            <w:r>
              <w:rPr>
                <w:rFonts w:ascii="Times New Roman" w:cs="Times New Roman" w:eastAsia="Times New Roman" w:hAnsi="Times New Roman"/>
                <w:sz w:val="16"/>
                <w:szCs w:val="16"/>
                <w:color w:val="auto"/>
              </w:rPr>
              <w:t>Accumulated</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3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Par Value</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color w:val="auto"/>
                <w:w w:val="98"/>
              </w:rPr>
              <w:t>capital</w:t>
            </w:r>
          </w:p>
        </w:tc>
        <w:tc>
          <w:tcPr>
            <w:tcW w:w="11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income (loss)</w:t>
            </w:r>
          </w:p>
        </w:tc>
        <w:tc>
          <w:tcPr>
            <w:tcW w:w="18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deficit</w:t>
            </w:r>
          </w:p>
        </w:tc>
        <w:tc>
          <w:tcPr>
            <w:tcW w:w="180" w:type="dxa"/>
            <w:vAlign w:val="bottom"/>
          </w:tcPr>
          <w:p>
            <w:pPr>
              <w:spacing w:after="0"/>
              <w:rPr>
                <w:sz w:val="14"/>
                <w:szCs w:val="14"/>
                <w:color w:val="auto"/>
              </w:rPr>
            </w:pPr>
          </w:p>
        </w:tc>
        <w:tc>
          <w:tcPr>
            <w:tcW w:w="740" w:type="dxa"/>
            <w:vAlign w:val="bottom"/>
          </w:tcPr>
          <w:p>
            <w:pPr>
              <w:jc w:val="right"/>
              <w:ind w:right="179"/>
              <w:spacing w:after="0" w:line="162" w:lineRule="exact"/>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51"/>
        </w:trPr>
        <w:tc>
          <w:tcPr>
            <w:tcW w:w="36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51,645,557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534,187</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(417,431)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116,736</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4,490,853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24,494</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Surrender of shares for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 to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10,627</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(loss) on investments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(69,676)</w:t>
            </w:r>
          </w:p>
        </w:tc>
        <w:tc>
          <w:tcPr>
            <w:tcW w:w="0" w:type="dxa"/>
            <w:vAlign w:val="bottom"/>
          </w:tcPr>
          <w:p>
            <w:pPr>
              <w:spacing w:after="0"/>
              <w:rPr>
                <w:sz w:val="1"/>
                <w:szCs w:val="1"/>
                <w:color w:val="auto"/>
              </w:rPr>
            </w:pPr>
          </w:p>
        </w:tc>
      </w:tr>
      <w:tr>
        <w:trPr>
          <w:trHeight w:val="20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56,644,655</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570,361</w:t>
            </w:r>
          </w:p>
        </w:tc>
        <w:tc>
          <w:tcPr>
            <w:tcW w:w="80" w:type="dxa"/>
            <w:vAlign w:val="bottom"/>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(487,107)</w:t>
            </w:r>
          </w:p>
        </w:tc>
        <w:tc>
          <w:tcPr>
            <w:tcW w:w="80" w:type="dxa"/>
            <w:vAlign w:val="bottom"/>
          </w:tcPr>
          <w:p>
            <w:pPr>
              <w:spacing w:after="0"/>
              <w:rPr>
                <w:sz w:val="17"/>
                <w:szCs w:val="17"/>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83,285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Surrender of shares for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 to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(loss) on investments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22,367</w:t>
            </w:r>
          </w:p>
        </w:tc>
        <w:tc>
          <w:tcPr>
            <w:tcW w:w="0" w:type="dxa"/>
            <w:vAlign w:val="bottom"/>
          </w:tcPr>
          <w:p>
            <w:pPr>
              <w:spacing w:after="0"/>
              <w:rPr>
                <w:sz w:val="1"/>
                <w:szCs w:val="1"/>
                <w:color w:val="auto"/>
              </w:rPr>
            </w:pPr>
          </w:p>
        </w:tc>
      </w:tr>
      <w:tr>
        <w:trPr>
          <w:trHeight w:val="212"/>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57,138,057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576,842</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(464,740)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112,211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360" w:right="11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Black Diamond Therapeutics, Inc.</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1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BUSINESS AND BASIS OF PRESENTATION</w:t>
      </w:r>
    </w:p>
    <w:p>
      <w:pPr>
        <w:spacing w:after="0" w:line="233"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Black Diamond Therapeutics, Inc. (the Company) is a clinical-stage oncology company developing MasterKey therapies that target families of oncogenic mutations in patients with cancer. The Company was originally organized as a limited liability company in December 2014 under the name ASET Therapeutics LLC. In September 2016, the Company was converted to a corporation under the laws of the State of Delaware under the name ASET Therapeutics, Inc. The Company changed its name to Black Diamond Therapeutics, Inc. in January 2018. Since its inception, the Company has devoted substantially all of its efforts to raising capital, obtaining financing and incurring research and development costs related to the development and advancement of its product candidates identified by its Mutation-Allostery-Pharmacology (MAP) drug discovery engine.</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Company is subject to risks and uncertainties common to clinical-stage companies in the biotechnology industry. There can be no assurance that the Company’s research and development will be successfully completed, that adequate protection for the Company’s technology will be obtained, that any products developed will obtain necessary government regulatory approval or that any products, if approved, will be commercially viable. The Company operates in an environment of rapid technological innovation and substantial competition from pharmaceutical and biotechnological companies. In addition, the Company is dependent upon the services of its employees, consultants and service providers. Even if the Company’s product development efforts are successful, it is uncertain when, if ever, the Company will realize significant revenue from product sales.</w:t>
      </w:r>
    </w:p>
    <w:p>
      <w:pPr>
        <w:spacing w:after="0" w:line="206"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20"/>
          <w:szCs w:val="20"/>
          <w:color w:val="auto"/>
        </w:rPr>
        <w:t xml:space="preserve">On March 18, 2025, the Company entered into a global licensing agreement (the Servier Agreement) with Servier Pharmaceuticals LLC (Servier) for BDTX-4933, a small molecule designed by the Company to address unmet medical needs in RAF/RAS-mutant solid tumors, pursuant to which the Company granted to Servier a worldwide license to develop and commercialize BDTX-4933. Under the terms of the Servier Agreement, Servier will lead the development activities and the worldwide commercialization of BDTX-4933 across multiple indications, including non-small cell lung cancer (NSCLC), with potential applications in other solid tumors. Under the Servier Agreement, the Company received an upfront payment of $70.0 million in March 2025 and will be eligible to receive up to $710.0 million in development and commercial sales milestone payments, along with tiered royalties based on global net sales. The Servier Agreement is discussed in greater detail in Note 15, </w:t>
      </w:r>
      <w:r>
        <w:rPr>
          <w:rFonts w:ascii="Times New Roman" w:cs="Times New Roman" w:eastAsia="Times New Roman" w:hAnsi="Times New Roman"/>
          <w:sz w:val="20"/>
          <w:szCs w:val="20"/>
          <w:i w:val="1"/>
          <w:iCs w:val="1"/>
          <w:color w:val="auto"/>
        </w:rPr>
        <w:t>License Revenue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On November 14, 2022, the Company filed a shelf registration statement on Form S-3, including a base prospectus and sales agreement prospectus (the Prior Shelf Registration Statement), with the SEC, which covered the offering, issuance and sale of the Company’s common stock, preferred stock, debt securities, warrants and/or units of any combination thereof up to a maximum price of $500.0 million. The Company simultaneously entered into an Open Market Sale Agreement</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20"/>
          <w:szCs w:val="20"/>
          <w:color w:val="auto"/>
        </w:rPr>
        <w:t xml:space="preserve"> (the Sales Agreement) with Jefferies LLC (Jefferies), as sales agent, to provide for the issuance and sale by the Company of up to $150.0 million of its common stock, or the Shares, from time to time through Jefferies as its sales agent (the ATM Program). The Prior Shelf Registration Statement became effective on November 22, 2022. Upon delivery of a placement notice and subject to the terms and conditions of the Sales Agreement, Jefferies may sell the Shares by any method permitted by law deemed to be an “at the market offering” as defined in Rule 415(a)(4) promulgated under the Securities Act. The Company may sell the Shares in amounts and at times to be determined by the Company from time to time subject to the terms and conditions of the Sales Agreement, but the Company has no obligation to sell any Shares under the Sales Agreement. The Company or Jefferies may suspend or terminate the offering of Shares upon notice to the other party and subject to other conditions.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On November 14, 2022,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9"/>
          <w:szCs w:val="19"/>
          <w:color w:val="auto"/>
        </w:rPr>
        <w:t xml:space="preserve"> (the Sales Agreement) with Jefferies LLC (Jefferies), as sales agent, to provide for the issuance and sale by the Company of up to $150.0 million of its common stock, or the Shares, from time to time through Jefferies as its sales agent (the ATM Program). Upon delivery of a placement notice and subject to the terms and conditions of the Sales Agreement, Jefferies may sell the Shares by any method permitted by law deemed to be an “at the market offering” as defined in Rule 415(a)(4) promulgated under the Securities Act. The Company may sell the Shares in amounts and at times to be determined by the Company from time to time subject to the terms and conditions of the Sales Agreement, but the Company has no obligation to sell any Shares under the Sales Agreement. The Company or Jefferies may suspend or terminate the offering of Shares upon notice to the other party and subject to other conditions As of December 31, 2025, the Company sold 4,490,853 shares of its common stock pursuant to the ATM Program, resulting in gross proceeds to the Company of approximately $25.0 million ($24.5 million net of offering costs).</w:t>
      </w:r>
    </w:p>
    <w:p>
      <w:pPr>
        <w:spacing w:after="0" w:line="17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on the basis of continuity of operations, realization of assets, and the satisfaction of liabilities and commitments in the ordinary course of business. Historically, the Company has funded its operations primarily with proceeds from the sale of common stock and preferred stock. The Company has had recurring losses and negative cash flows from operations in all periods since inception and had an accumulated deficit of $464.7 million as of December 31, 2025. The Company expects to continue to generate operating losses for the foreseeable future.</w:t>
      </w:r>
    </w:p>
    <w:p>
      <w:pPr>
        <w:spacing w:after="0" w:line="173"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20"/>
          <w:szCs w:val="20"/>
          <w:color w:val="auto"/>
        </w:rPr>
        <w:t>As of March 16, 2026, the issuance date of the consolidated financial statements, the Company expects that its cash, cash equivalents and investments will be sufficient to fund its currently planned operations for at least the next 12 months from the filing date of these audited consolidated financial statements.</w:t>
      </w:r>
    </w:p>
    <w:p>
      <w:pPr>
        <w:spacing w:after="0" w:line="16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The Company will seek additional funding through private or public equity financings, debt financings, collaborations, strategic alliances and marketing, distribution or licensing arrangements. The Company may not be able to obtain financing on acceptable terms, or at all, and the Company may not be able to enter into collaborations or other arrangements. The terms of any financing may adversely affect the holdings or the rights of the Company's stockholders. If the Company is unable to obtain funding, the Company could be forced to delay, reduce or eliminate some or all of its research and development programs, product portfolio expansion or commercialization efforts, or reduce headcount and general and administrative costs, which could adversely affect its business prospects. Although management continues to pursue these plans, there is no assurance that the Company will be successful in obtaining sufficient funding on terms acceptable to the Company to fund continuing operations, if at all.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233"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accordance with accounting principles generally accepted in the United States of America (GAAP) and include the accounts of the Company and its wholly owned subsidiary, Black Diamond Therapeutics Security Corporation, after elimination of all significant intercompany accounts and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2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The preparation of the Company’s consolidated financial statements in conformity with GAAP requires management to make estimates and assumptions that affect the reported amounts of assets and liabilities and the reported amounts of expenses during the reporting periods. Significant estimates and assumptions reflected in these consolidated financial statements include, but are not limited to, the accrual of research and development expenses and the valuation of stock-based awards. The Company bases its estimates on historical experience, known trends and other market-specific or other relevant factors that it believes to be reasonable under the circumstances. Estimates are periodically reviewed in light of changes in circumstances, facts and experience. Changes in estimates are recorded in the period in which they become known. Actual results may differ from those estimates or assumptions.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The Company continues to monitor the impact of macroeconomic developments and geopolitical developments, including political unrest, new or increased international tariffs and retaliatory tariffs, economic sanctions, high inflation, disruptions in capital markets, changes in or disruptions of U.S. governmental agencies whether from a continued U.S. federal government shutdown or reduced resources, new laws and regulations or amendments to existing laws and regulations in the U.S. and foreign countries, international trade relationships and military conflicts, on all aspects of its business, and has considered the impact of these factors on estimates within its financial statements. The extent to which future developments may impact the Company’s business, results of operations or financial condition are uncertain and cannot be predicted with confidence and there may be changes to estimates in future periods. As of the date of issuance of these consolidated financial statements, the Company has not experienced material business disruptions or incurred impairment losses in the carrying value of its assets as a result of these factors and is not aware of any specific related event or circumstance that would require it to update its estimates.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Subsequent events</w:t>
      </w:r>
    </w:p>
    <w:p>
      <w:pPr>
        <w:spacing w:after="0" w:line="233"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The Company considers events or transactions that occur after the balance sheet date but before the final financial statements are issued to provide additional evidence relative to certain estimates or to identify matters that require additional disclosure.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Company classifies deposits in banks, money market funds and cash invested temporarily in various instruments with maturities of three months or less at the time of purchase as cash and cash equivalents. At December 31, 2025 and 2024, cash and cash equivalents includes cash on deposit at commercial banks and a money market fund that invests in U.S. Government securities.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2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Investments consist of marketable securities with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and losses are reported as the accumulated other comprehensive items in stockholders’ equity. Amortization and accretion of premiums and discounts are recorded in other income (expense). Realized gains or losses on debt securities are included in interest income or interest expense, respectively.</w:t>
      </w:r>
    </w:p>
    <w:p>
      <w:pPr>
        <w:spacing w:after="0" w:line="17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If any adjustment to fair value reflects a decline in value of the investment, the Company considers all available evidence to evaluate the extent to which the decline is other than temporary and, if so, marks the investment to market on the Company’s consolidated statements of operations and comprehensive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method investment</w:t>
      </w:r>
    </w:p>
    <w:p>
      <w:pPr>
        <w:spacing w:after="0" w:line="23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Company utilizes the equity method to account for an investment when it possesses the ability to exercise significant influence, but not control, over the operating and financial decisions of the investee. Generally, the ability to exercise significant influence is presumed when the investor possesses more than 20% of the voting interests of the investee. This presumption may be overcome based on specific facts and circumstances that demonstrate that the ability to exercise significant influence is not present. The Company applies the equity method to an investment in common stock of a nonconsolidated entity.</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applying the equity method, the Company’s investment was initially recorded at fair value on the consolidated balance sheet. The Company contributed IPR&amp;D in exchange for its investment, so it also recognized a gain on sale of IPR&amp;D in the consolidated statements of operations and comprehensive loss on the transaction date. The Company subsequently adjusted the carrying amount of the investment by the Company’s proportionate share of the net losses of the investee based on the Company’s percentage of common stock ownership during the reporting period. The Company recorded its share of the losses of the investee as losses from investment in equity method investee in the consolidated statements of operations and comprehensive loss.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The Company then evaluated whether there was a basis difference between the carrying value and fair value of the Company’s proportionate share of the investee’s underlying net assets. The investee was not deemed a business as defined in ASC 805 – Business Combinations, so the Company immediately expensed the basis difference to the extent it related to IPR&amp;D.</w:t>
      </w:r>
    </w:p>
    <w:p>
      <w:pPr>
        <w:spacing w:after="0" w:line="16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Company is not obligated to make additional capital contributions for its equity method investment and does not have guaranteed obligations or additional financial support requirements to the investee. Therefore, it only recorded losses up to the amount of its total investment. The Company’s share of losses of the equity method investee on a cumulative basis exceeded its total investment amount, so the Company discontinued equity method loss recognition. The Company will resume recording its share of losses in future periods if the investee subsequently reports net income and the Company’s share of the earnings of the equity method investee equals the Company’s share of losses not recognized during the suspended period.</w:t>
      </w:r>
    </w:p>
    <w:p>
      <w:pPr>
        <w:spacing w:after="0" w:line="19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Equity method investments are reviewed for indicators of other-than-temporary impairment at each reporting period and are written down to fair value if there is evidence of a loss in value that is other-than-temporary. The Company presents income/losses from equity investments and any impairment related to equity method investments as losses from investments in equity method investees on the consolidated statements of operations and comprehensive loss. The carrying value of the Company’s equity method investment was zero as of December 31, 2025, therefore, an impairment assessment is not required. See Note 6 to our consolidated audited financial statements for additional information on the Company’s equity method investment.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33"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20"/>
          <w:szCs w:val="20"/>
          <w:color w:val="auto"/>
        </w:rPr>
        <w:t>In connection with its operating lease commitments, the Company maintains certain balances for security deposits that are classified as restricted cash on the consolidated balance sheets. As of December 31, 2025 and 2024, the Company had $829 and $819, respectively, of restricted cash, which has been classified as a non-current asset on the consolidated balance sheet.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w:t>
      </w:r>
    </w:p>
    <w:p>
      <w:pPr>
        <w:spacing w:after="0" w:line="22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Financial instruments that potentially expose the Company to concentrations of credit risk consist primarily of cash, cash equivalents and marketable securities. The Company maintains accounts for all cash and cash equivalents at accredited financial institutions, in amounts that exceed federally insured limits. The Company does not believe that it is subject to unusual credit risk beyond the normal credit risk associated with commercial banking relationships.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220" w:lineRule="exact"/>
        <w:rPr>
          <w:sz w:val="20"/>
          <w:szCs w:val="20"/>
          <w:color w:val="auto"/>
        </w:rPr>
      </w:pPr>
    </w:p>
    <w:p>
      <w:pPr>
        <w:ind w:right="640"/>
        <w:spacing w:after="0" w:line="283" w:lineRule="auto"/>
        <w:rPr>
          <w:sz w:val="20"/>
          <w:szCs w:val="20"/>
          <w:color w:val="auto"/>
        </w:rPr>
      </w:pPr>
      <w:r>
        <w:rPr>
          <w:rFonts w:ascii="Times New Roman" w:cs="Times New Roman" w:eastAsia="Times New Roman" w:hAnsi="Times New Roman"/>
          <w:sz w:val="20"/>
          <w:szCs w:val="20"/>
          <w:color w:val="auto"/>
        </w:rPr>
        <w:t>Property and equipment are recorded at cost less accumulated depreciation. Depreciation expense is recognized using the straight-line method over the estimated useful life of each asset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72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20"/>
                <w:szCs w:val="20"/>
                <w:color w:val="auto"/>
              </w:rPr>
              <w:t>Estimated useful life</w:t>
            </w:r>
          </w:p>
        </w:tc>
        <w:tc>
          <w:tcPr>
            <w:tcW w:w="0" w:type="dxa"/>
            <w:vAlign w:val="bottom"/>
          </w:tcPr>
          <w:p>
            <w:pPr>
              <w:spacing w:after="0"/>
              <w:rPr>
                <w:sz w:val="1"/>
                <w:szCs w:val="1"/>
                <w:color w:val="auto"/>
              </w:rPr>
            </w:pPr>
          </w:p>
        </w:tc>
      </w:tr>
      <w:tr>
        <w:trPr>
          <w:trHeight w:val="27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Furniture and fixtures</w:t>
            </w:r>
          </w:p>
        </w:tc>
        <w:tc>
          <w:tcPr>
            <w:tcW w:w="2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 years</w:t>
            </w:r>
          </w:p>
        </w:tc>
        <w:tc>
          <w:tcPr>
            <w:tcW w:w="0" w:type="dxa"/>
            <w:vAlign w:val="bottom"/>
          </w:tcPr>
          <w:p>
            <w:pPr>
              <w:spacing w:after="0"/>
              <w:rPr>
                <w:sz w:val="1"/>
                <w:szCs w:val="1"/>
                <w:color w:val="auto"/>
              </w:rPr>
            </w:pPr>
          </w:p>
        </w:tc>
      </w:tr>
      <w:tr>
        <w:trPr>
          <w:trHeight w:val="75"/>
        </w:trPr>
        <w:tc>
          <w:tcPr>
            <w:tcW w:w="872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Leasehold improvements</w:t>
            </w:r>
          </w:p>
        </w:tc>
        <w:tc>
          <w:tcPr>
            <w:tcW w:w="2520" w:type="dxa"/>
            <w:vAlign w:val="bottom"/>
          </w:tcPr>
          <w:p>
            <w:pPr>
              <w:jc w:val="right"/>
              <w:spacing w:after="0" w:line="189" w:lineRule="exact"/>
              <w:rPr>
                <w:sz w:val="20"/>
                <w:szCs w:val="20"/>
                <w:color w:val="auto"/>
              </w:rPr>
            </w:pPr>
            <w:r>
              <w:rPr>
                <w:rFonts w:ascii="Times New Roman" w:cs="Times New Roman" w:eastAsia="Times New Roman" w:hAnsi="Times New Roman"/>
                <w:sz w:val="20"/>
                <w:szCs w:val="20"/>
                <w:color w:val="auto"/>
              </w:rPr>
              <w:t>Shorter of the useful life or</w:t>
            </w:r>
          </w:p>
        </w:tc>
        <w:tc>
          <w:tcPr>
            <w:tcW w:w="0" w:type="dxa"/>
            <w:vAlign w:val="bottom"/>
          </w:tcPr>
          <w:p>
            <w:pPr>
              <w:spacing w:after="0"/>
              <w:rPr>
                <w:sz w:val="1"/>
                <w:szCs w:val="1"/>
                <w:color w:val="auto"/>
              </w:rPr>
            </w:pPr>
          </w:p>
        </w:tc>
      </w:tr>
      <w:tr>
        <w:trPr>
          <w:trHeight w:val="258"/>
        </w:trPr>
        <w:tc>
          <w:tcPr>
            <w:tcW w:w="8720" w:type="dxa"/>
            <w:vAlign w:val="bottom"/>
            <w:vMerge w:val="continue"/>
          </w:tcPr>
          <w:p>
            <w:pPr>
              <w:spacing w:after="0"/>
              <w:rPr>
                <w:sz w:val="22"/>
                <w:szCs w:val="22"/>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remaining lease term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When assets are retired or otherwise disposed of, the cost of assets disposed of and the related accumulated depreciation is removed from the accounts and any resulting gain or loss is included in the consolidated statements of operations and comprehensive loss in the period of disposal. Expenditures for repairs and maintenance are charged to expense as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Long-lived assets consist of property and equipment and right-of-use assets associated with operating leases.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in loss from operations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The Company recorded impairment losses of $7,348 on long-lived assets for the year ended December 31,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23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980" w:right="420" w:hanging="324"/>
        <w:spacing w:after="0" w:line="287" w:lineRule="auto"/>
        <w:tabs>
          <w:tab w:leader="none" w:pos="96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1 </w:t>
      </w:r>
      <w:r>
        <w:rPr>
          <w:rFonts w:ascii="Times New Roman" w:cs="Times New Roman" w:eastAsia="Times New Roman" w:hAnsi="Times New Roman"/>
          <w:sz w:val="20"/>
          <w:szCs w:val="20"/>
          <w:color w:val="auto"/>
        </w:rPr>
        <w:t>— Unadjusted quoted prices in active markets that are accessible to the reporting entity at the measurement date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identical assets and liabilities.</w:t>
      </w:r>
    </w:p>
    <w:p>
      <w:pPr>
        <w:spacing w:after="0" w:line="43" w:lineRule="exact"/>
        <w:rPr>
          <w:rFonts w:ascii="Times New Roman" w:cs="Times New Roman" w:eastAsia="Times New Roman" w:hAnsi="Times New Roman"/>
          <w:sz w:val="20"/>
          <w:szCs w:val="20"/>
          <w:color w:val="auto"/>
        </w:rPr>
      </w:pPr>
    </w:p>
    <w:p>
      <w:pPr>
        <w:ind w:left="980" w:right="160" w:hanging="324"/>
        <w:spacing w:after="0" w:line="273" w:lineRule="auto"/>
        <w:tabs>
          <w:tab w:leader="none" w:pos="96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2 </w:t>
      </w:r>
      <w:r>
        <w:rPr>
          <w:rFonts w:ascii="Times New Roman" w:cs="Times New Roman" w:eastAsia="Times New Roman" w:hAnsi="Times New Roman"/>
          <w:sz w:val="20"/>
          <w:szCs w:val="20"/>
          <w:color w:val="auto"/>
        </w:rPr>
        <w:t>— Inputs other than quoted prices in active markets for identical assets and liabilities that are observable either directly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indirectly for substantially the full term of the asset or liability. Level 2 inputs include the following:</w:t>
      </w:r>
    </w:p>
    <w:p>
      <w:pPr>
        <w:spacing w:after="0" w:line="61"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and liabilities in active markets</w:t>
      </w:r>
    </w:p>
    <w:p>
      <w:pPr>
        <w:spacing w:after="0" w:line="107"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markets that are not active</w:t>
      </w:r>
    </w:p>
    <w:p>
      <w:pPr>
        <w:spacing w:after="0" w:line="121" w:lineRule="exact"/>
        <w:rPr>
          <w:rFonts w:ascii="Times New Roman" w:cs="Times New Roman" w:eastAsia="Times New Roman" w:hAnsi="Times New Roman"/>
          <w:sz w:val="20"/>
          <w:szCs w:val="20"/>
          <w:color w:val="auto"/>
        </w:rPr>
      </w:pPr>
    </w:p>
    <w:p>
      <w:pPr>
        <w:ind w:left="1620" w:right="220" w:hanging="316"/>
        <w:spacing w:after="0" w:line="283" w:lineRule="auto"/>
        <w:tabs>
          <w:tab w:leader="none" w:pos="1608"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observable inputs other than quoted prices that are used in the valuation of the asset or liabilities (e.g., interest rate and yield curve quotes at commonly quoted intervals)</w:t>
      </w:r>
    </w:p>
    <w:p>
      <w:pPr>
        <w:spacing w:after="0" w:line="38" w:lineRule="exact"/>
        <w:rPr>
          <w:rFonts w:ascii="Times New Roman" w:cs="Times New Roman" w:eastAsia="Times New Roman" w:hAnsi="Times New Roman"/>
          <w:sz w:val="20"/>
          <w:szCs w:val="20"/>
          <w:color w:val="auto"/>
        </w:rPr>
      </w:pPr>
    </w:p>
    <w:p>
      <w:pPr>
        <w:ind w:left="1620" w:hanging="316"/>
        <w:spacing w:after="0"/>
        <w:tabs>
          <w:tab w:leader="none" w:pos="162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117" w:lineRule="exact"/>
        <w:rPr>
          <w:rFonts w:ascii="Times New Roman" w:cs="Times New Roman" w:eastAsia="Times New Roman" w:hAnsi="Times New Roman"/>
          <w:sz w:val="20"/>
          <w:szCs w:val="20"/>
          <w:color w:val="auto"/>
        </w:rPr>
      </w:pPr>
    </w:p>
    <w:p>
      <w:pPr>
        <w:ind w:left="980" w:right="100" w:hanging="324"/>
        <w:spacing w:after="0" w:line="263" w:lineRule="auto"/>
        <w:tabs>
          <w:tab w:leader="none" w:pos="96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Level 3 </w:t>
      </w:r>
      <w:r>
        <w:rPr>
          <w:rFonts w:ascii="Times New Roman" w:cs="Times New Roman" w:eastAsia="Times New Roman" w:hAnsi="Times New Roman"/>
          <w:sz w:val="20"/>
          <w:szCs w:val="20"/>
          <w:color w:val="auto"/>
        </w:rPr>
        <w:t>— Unobservable inputs for the assets or liabilities (i.e., supported by little or no market activity). Level 3 inputs include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management’s own assumptions about the assumptions that market participants would use in pricing the asset or liability (including assumptions about risk).</w:t>
      </w:r>
    </w:p>
    <w:p>
      <w:pPr>
        <w:spacing w:after="0" w:line="17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The carrying values of the Company’s prepaid expenses and other current assets, and accounts payable and accrued expenses, approximate their fair values due to the short-term nature of these assets and liabilities.</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2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The Company manages its operations as a single operating segment and single reportable segment for the purposes of assessing performance and making operating decisions. The Company’s singular focus is the development of selective medicines for patients with genetically defined cancers driven by oncogenes activated by allosteric mutations.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2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Research and development costs are expensed as incurred. Research and development expenses consist of costs incurred to discover, research and develop drug candidates, including personnel expenses, stock-based compensation expense, allocated facility-related and depreciation expenses, third-party license fees and external costs of outside vendors engaged to conduct preclinical and clinical development activities.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contract costs and accruals</w:t>
      </w:r>
    </w:p>
    <w:p>
      <w:pPr>
        <w:spacing w:after="0" w:line="22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 Company has entered into various research and development-related contracts with companies both inside and outside of the United States. The related costs are recorded as research and development expenses as incurred. The Company records accruals for estimated ongoing research costs. When billing terms under these contracts do not coincide with the timing of when the work is performed, the Company is required to make estimates of outstanding obligations to those third parties as of the end of the reporting period. Any accrual estimates are based on a number of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233"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All patent-related costs incurred in connection with filing and prosecuting patent applications to operations are expensed as incurred due to the uncertainty about the recovery of the expenditure. Amounts incurred are classified as general and administrative expenses.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Company measures all stock-based awards granted to employees, non-employees and directors based on the fair value on the date of grant and recognizes compensation expense of those awards over the requisite service period, which is generally the vesting period of the respective award. Generally, the Company issues stock options and restricted stock units with only service-based vesting conditions and records the expense for these awards using the straight-line method. For stock options or restricted stock units issued with performance-based vesting conditions, the stock compensation expense related to these awards is recognized based on the grant date fair value when achievement of the performance condition is deemed probable. The Company would apply the graded-vesting method to all stock-based awards with performance-based vesting conditions or to awards with both service-based and performance-based vesting conditions. Forfeitures are accounted for as they occur.</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 xml:space="preserve">The fair value of each stock option grant is estimated on the date of grant using the Black- Scholes option-pricing model. The Company estimates its expected common stock volatility based on its historical common stock volatility for the same time period. The Company uses the simplified method prescribed by Securities and Exchange Commission Staff Accounting Bulletin No. 107, </w:t>
      </w:r>
      <w:r>
        <w:rPr>
          <w:rFonts w:ascii="Times New Roman" w:cs="Times New Roman" w:eastAsia="Times New Roman" w:hAnsi="Times New Roman"/>
          <w:sz w:val="20"/>
          <w:szCs w:val="20"/>
          <w:i w:val="1"/>
          <w:iCs w:val="1"/>
          <w:color w:val="auto"/>
        </w:rPr>
        <w:t>Share-Based Payment</w:t>
      </w:r>
      <w:r>
        <w:rPr>
          <w:rFonts w:ascii="Times New Roman" w:cs="Times New Roman" w:eastAsia="Times New Roman" w:hAnsi="Times New Roman"/>
          <w:sz w:val="20"/>
          <w:szCs w:val="20"/>
          <w:color w:val="auto"/>
        </w:rPr>
        <w:t>, to calculate the expected term of options granted to employees, non-employees and directors.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 xml:space="preserve">The Company recognizes revenue in accordance with ASC Topic 606, </w:t>
      </w:r>
      <w:r>
        <w:rPr>
          <w:rFonts w:ascii="Times New Roman" w:cs="Times New Roman" w:eastAsia="Times New Roman" w:hAnsi="Times New Roman"/>
          <w:sz w:val="20"/>
          <w:szCs w:val="20"/>
          <w:i w:val="1"/>
          <w:iCs w:val="1"/>
          <w:color w:val="auto"/>
        </w:rPr>
        <w:t>Revenue from Contracts with Customers</w:t>
      </w:r>
      <w:r>
        <w:rPr>
          <w:rFonts w:ascii="Times New Roman" w:cs="Times New Roman" w:eastAsia="Times New Roman" w:hAnsi="Times New Roman"/>
          <w:sz w:val="20"/>
          <w:szCs w:val="20"/>
          <w:color w:val="auto"/>
        </w:rPr>
        <w:t>, (ASC 606). This standard applies to all contracts with customers, except for contracts that are within the scope of other standards. Under ASC 606, an entity recognizes revenue when its customer obtains control of promised goods or services, in an amount that reflects the consideration which the entity expects to receive in exchange for those goods or services.</w:t>
      </w:r>
    </w:p>
    <w:p>
      <w:pPr>
        <w:spacing w:after="0" w:line="1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Company enters into licensing agreements with partners under which it may exclusively license rights to research, develop, manufacture, and commercialize product candidates to third parties. The terms of these arrangements may include payment to the Company of one or more of the following: (1) non-refundable, upfront fees; (2) reimbursement of certain costs; (3) customer option fees for additional goods or services; (4) milestone payments; and (5) royalties on net sales of licensed products.</w:t>
      </w:r>
    </w:p>
    <w:p>
      <w:pPr>
        <w:spacing w:after="0" w:line="18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its judgment to determine: (a) the number of performance obligations 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also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 The Company evaluates the measure of progress each reporting period and, if necessary, adjusts the measure of performance and related revenue recognition. Amounts due to the Company for satisfying the revenue recognition criteria or that are contractually due based upon the terms of the applicable agreement are recorded as a receivable in the Company’s consolidated balance sheet.</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Milestone payments</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Company measures the transaction price based on the amount of consideration to which the Company expects to be entitled in exchange for transferring the promised goods and/or services to the customer. At the inception of an arrangement that includes milestone payments, the Company evaluates whether the milestones are considered probable of being achieved and estimates the amount of variable consideration to be included in the transaction price utilizing either the expected value method or the most likely amount method, depending on which method is expected to better predict the amount of consideration to which the Company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19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With respect to arrangements that include payments for a development or regulatory milestone, the Company evaluates whether the associated event is considered likely of achievement and estimates the amount to be included in the transaction price using the most likely amount method. Milestone payments that are not within the Company’s control or the control of the counterparty, such as those dependent upon receipt of regulatory approval, are not considered to be likely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income (loss) in the period of adjustment. See Note 15 to our consolidated financial statements for additional information on the Company’s license revenue.</w:t>
      </w:r>
    </w:p>
    <w:p>
      <w:pPr>
        <w:spacing w:after="0" w:line="19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For arrangements that include sales-based royalties, including milestone payments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To date, the Company has not taken any uncertain tax positions or recorded any reserves, interest or penalties.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In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(ASU 2023-09), which requires public entities to disclose in their rate reconciliation table additional categories of information about federal, state and foreign income taxes and to provide more details about the reconciling items in some categories if items meet a quantitative threshold. ASU 2023-09 became effective for the annual period starting on January 1, 2025. The adoption of ASU 2023-09, on a prospective basis, resulted in expansion of our income tax footnote disclosures in Note 9, </w:t>
      </w:r>
      <w:r>
        <w:rPr>
          <w:rFonts w:ascii="Times New Roman" w:cs="Times New Roman" w:eastAsia="Times New Roman" w:hAnsi="Times New Roman"/>
          <w:sz w:val="20"/>
          <w:szCs w:val="20"/>
          <w:i w:val="1"/>
          <w:iCs w:val="1"/>
          <w:color w:val="auto"/>
        </w:rPr>
        <w:t>Income Taxes</w:t>
      </w:r>
      <w:r>
        <w:rPr>
          <w:rFonts w:ascii="Times New Roman" w:cs="Times New Roman" w:eastAsia="Times New Roman" w:hAnsi="Times New Roman"/>
          <w:sz w:val="20"/>
          <w:szCs w:val="20"/>
          <w:color w:val="auto"/>
        </w:rPr>
        <w:t>, including a more detailed effective tax rate reconciliation.</w:t>
      </w:r>
    </w:p>
    <w:p>
      <w:pPr>
        <w:spacing w:after="0" w:line="19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On July 4, 2025, the One Big Beautiful Bill Act (OBBB Act) was enacted in the United States. The OBBB Act includes significant changes to federal tax law and other regulatory provisions that may impact the Company. The Company evaluated the impact of the enacted tax law and noted there is an immaterial impact on our income tax 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income (loss)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Comprehensive income (loss) is composed of net loss and other comprehensive income (loss). Other comprehensive income (loss) consists of unrealized gains and losses on investments.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w:t>
      </w:r>
    </w:p>
    <w:p>
      <w:pPr>
        <w:spacing w:after="0" w:line="2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Basic net income (loss) per share attributable to common stockholders is computed by dividing the net income (loss) attributable to common stockholders by the weighted average number of common shares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common shares outstanding for the period, including potential dilutive common stock. For purposes of this calculation, outstanding options, unvested restricted common stock and shares issuable under the employee stock purchase plan are considered potentially dilutive common stock and are excluded from the computation of net income (loss) per share when their effect is anti-dilutive. The Company reported a net income and a net loss attributable to common stockholders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23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0"/>
          <w:szCs w:val="20"/>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Certain adjustments to the right-of-use asset may be required for items such as incentives received.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9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 lease payments used to determine the Company’s operating lease assets may include lease incentives, stated rent increases and escalation clauses linked to rates of inflation, when determinable, and are recognized in the Company’s operating lease assets in the Company’s consolidated balance sheets.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The Company’s operating leases are reflected in the right-of-use operating asset; operating lease liability, current portion; and non-current operating lease liability in the Company’s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72"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20"/>
          <w:szCs w:val="20"/>
          <w:color w:val="auto"/>
        </w:rPr>
        <w:t>Variable lease payments are the amounts owed by the Company to a lessor that are not fixed, such as reimbursement for common area maintenance and utilities costs for facility leases and maintenance. Variable lease payments are expensed when incurred.</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Assumptions made by the Company at the commencement date are re-evaluated upon occurrence of certain events, including a lease modification. A lease modification results in a separate contract when the modification grants the lessee an additional right of use not included in the original lease and when lease payments increase commensurate with the standalone price for the additional right of use. When a lease modification results in a separate contract, it is accounted for in the same manner as a new 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 xml:space="preserve">In December 2023, the Financial Accounting Standards Board (FASB) issued ASU 2023-09, </w:t>
      </w:r>
      <w:r>
        <w:rPr>
          <w:rFonts w:ascii="Times New Roman" w:cs="Times New Roman" w:eastAsia="Times New Roman" w:hAnsi="Times New Roman"/>
          <w:sz w:val="20"/>
          <w:szCs w:val="20"/>
          <w:i w:val="1"/>
          <w:iCs w:val="1"/>
          <w:color w:val="auto"/>
        </w:rPr>
        <w:t>Income Taxes (Topic 740): Improvements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Income Tax Disclosures </w:t>
      </w:r>
      <w:r>
        <w:rPr>
          <w:rFonts w:ascii="Times New Roman" w:cs="Times New Roman" w:eastAsia="Times New Roman" w:hAnsi="Times New Roman"/>
          <w:sz w:val="20"/>
          <w:szCs w:val="20"/>
          <w:color w:val="auto"/>
        </w:rPr>
        <w:t>(ASU 2023-09). ASU 2023-09 requires that public business entities on an annual basis (1) disclose specific</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The standard is effective for annual and interim periods beginning after December 15, 2024. Adoption of the standard requires certain changes to be made prospectively, with some changes to be made retrospectively. The Company adopted ASU 2023-09 for its annual reporting period ending on December 31, 2025 and applied the amendments prospectively. See Note 9 for the required disclosures.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 Reporting Comprehensive Income – Expense Disaggregation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 (Subtopic 220-40): Disaggregation of Income Statement Expenses</w:t>
      </w:r>
      <w:r>
        <w:rPr>
          <w:rFonts w:ascii="Times New Roman" w:cs="Times New Roman" w:eastAsia="Times New Roman" w:hAnsi="Times New Roman"/>
          <w:sz w:val="20"/>
          <w:szCs w:val="20"/>
          <w:color w:val="auto"/>
        </w:rPr>
        <w:t>, which is intended to enhance transparency into the nature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function of expenses. The amendments require that on an annual and interim basis, entities disclose disaggregated operating expense information about specific categories, including purchases of inventory, employee compensation, depreciation, amortization and depletion. This guidance is effective for fiscal years beginning after December 15, 2026, and interim periods within fiscal years beginning after December 15, 2027. The Company will evaluate the impact of the guidance on its financial statements in advance of the adoption date.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23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and liabilities measured at fair value on a recurring basis and indicate the level of the fair value hierarchy used to determine such fair values: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640" w:type="dxa"/>
            <w:vAlign w:val="bottom"/>
            <w:tcBorders>
              <w:bottom w:val="single" w:sz="8" w:color="auto"/>
            </w:tcBorders>
            <w:gridSpan w:val="15"/>
          </w:tcPr>
          <w:p>
            <w:pPr>
              <w:jc w:val="right"/>
              <w:ind w:right="701"/>
              <w:spacing w:after="0"/>
              <w:rPr>
                <w:sz w:val="20"/>
                <w:szCs w:val="20"/>
                <w:color w:val="auto"/>
              </w:rPr>
            </w:pPr>
            <w:r>
              <w:rPr>
                <w:rFonts w:ascii="Times New Roman" w:cs="Times New Roman" w:eastAsia="Times New Roman" w:hAnsi="Times New Roman"/>
                <w:sz w:val="20"/>
                <w:szCs w:val="20"/>
                <w:color w:val="auto"/>
              </w:rPr>
              <w:t>Fair value measurements at December 31, 2025 using:</w:t>
            </w:r>
          </w:p>
        </w:tc>
      </w:tr>
      <w:tr>
        <w:trPr>
          <w:trHeight w:val="304"/>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Level 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Level 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Level 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Total</w:t>
            </w:r>
          </w:p>
        </w:tc>
      </w:tr>
      <w:tr>
        <w:trPr>
          <w:trHeight w:val="30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2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r>
      <w:tr>
        <w:trPr>
          <w:trHeight w:val="257"/>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equivalents: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Money market funds</w:t>
            </w:r>
          </w:p>
        </w:tc>
        <w:tc>
          <w:tcPr>
            <w:tcW w:w="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19,906</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19,906</w:t>
            </w:r>
          </w:p>
        </w:tc>
      </w:tr>
      <w:tr>
        <w:trPr>
          <w:trHeight w:val="257"/>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Commercial paper</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14,885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14,885</w:t>
            </w:r>
          </w:p>
        </w:tc>
      </w:tr>
      <w:tr>
        <w:trPr>
          <w:trHeight w:val="256"/>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Corporate bonds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78,745</w:t>
            </w: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U.S. Government agencies</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14,032</w:t>
            </w:r>
          </w:p>
        </w:tc>
      </w:tr>
      <w:tr>
        <w:trPr>
          <w:trHeight w:val="250"/>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280" w:type="dxa"/>
            <w:vAlign w:val="bottom"/>
            <w:tcBorders>
              <w:top w:val="single" w:sz="8" w:color="auto"/>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19,906</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127,568</w:t>
            </w:r>
          </w:p>
        </w:tc>
      </w:tr>
      <w:tr>
        <w:trPr>
          <w:trHeight w:val="21"/>
        </w:trPr>
        <w:tc>
          <w:tcPr>
            <w:tcW w:w="5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r>
      <w:tr>
        <w:trPr>
          <w:trHeight w:val="624"/>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15"/>
          </w:tcPr>
          <w:p>
            <w:pPr>
              <w:jc w:val="right"/>
              <w:ind w:right="701"/>
              <w:spacing w:after="0"/>
              <w:rPr>
                <w:sz w:val="20"/>
                <w:szCs w:val="20"/>
                <w:color w:val="auto"/>
              </w:rPr>
            </w:pPr>
            <w:r>
              <w:rPr>
                <w:rFonts w:ascii="Times New Roman" w:cs="Times New Roman" w:eastAsia="Times New Roman" w:hAnsi="Times New Roman"/>
                <w:sz w:val="20"/>
                <w:szCs w:val="20"/>
                <w:color w:val="auto"/>
              </w:rPr>
              <w:t>Fair value measurements at December 31, 2024 using:</w:t>
            </w:r>
          </w:p>
        </w:tc>
      </w:tr>
      <w:tr>
        <w:trPr>
          <w:trHeight w:val="304"/>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Level 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Level 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Level 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Total</w:t>
            </w:r>
          </w:p>
        </w:tc>
      </w:tr>
      <w:tr>
        <w:trPr>
          <w:trHeight w:val="308"/>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Assets:</w:t>
            </w:r>
          </w:p>
        </w:tc>
        <w:tc>
          <w:tcPr>
            <w:tcW w:w="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80" w:type="dxa"/>
            <w:vAlign w:val="bottom"/>
            <w:tcBorders>
              <w:top w:val="single" w:sz="8" w:color="CCEEFF"/>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r>
      <w:tr>
        <w:trPr>
          <w:trHeight w:val="256"/>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equivalents: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Money market funds</w:t>
            </w:r>
          </w:p>
        </w:tc>
        <w:tc>
          <w:tcPr>
            <w:tcW w:w="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35,345</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35,345</w:t>
            </w:r>
          </w:p>
        </w:tc>
      </w:tr>
      <w:tr>
        <w:trPr>
          <w:trHeight w:val="256"/>
        </w:trPr>
        <w:tc>
          <w:tcPr>
            <w:tcW w:w="5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Investments: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Commercial paper</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34,914</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34,914</w:t>
            </w:r>
          </w:p>
        </w:tc>
      </w:tr>
      <w:tr>
        <w:trPr>
          <w:trHeight w:val="256"/>
        </w:trPr>
        <w:tc>
          <w:tcPr>
            <w:tcW w:w="53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Corporate bonds</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3"/>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27,224</w:t>
            </w:r>
          </w:p>
        </w:tc>
      </w:tr>
      <w:tr>
        <w:trPr>
          <w:trHeight w:val="275"/>
        </w:trPr>
        <w:tc>
          <w:tcPr>
            <w:tcW w:w="5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35,345</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62,138</w:t>
            </w: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w w:val="99"/>
              </w:rPr>
              <w:t>$</w:t>
            </w:r>
          </w:p>
        </w:tc>
        <w:tc>
          <w:tcPr>
            <w:tcW w:w="1140" w:type="dxa"/>
            <w:vAlign w:val="bottom"/>
            <w:tcBorders>
              <w:top w:val="single" w:sz="8" w:color="auto"/>
              <w:bottom w:val="single" w:sz="8" w:color="auto"/>
            </w:tcBorders>
            <w:gridSpan w:val="2"/>
            <w:shd w:val="clear" w:color="auto" w:fill="CCEEFF"/>
          </w:tcPr>
          <w:p>
            <w:pPr>
              <w:ind w:left="86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97,483</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When developing fair value estimates, the Company maximizes the use of observable inputs and minimizes the use of unobservable inputs. When available, the Company uses quoted market prices to measure fair value. The valuation technique used to measure fair value for the Company's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the Company is required to make judgments about assumptions market participants would use to estimate the fair value of a financial instrument.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transfers in or out of Level 3 categories in the periods presented.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INVESTMENTS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investments were comprised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04"/>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4"/>
        </w:trPr>
        <w:tc>
          <w:tcPr>
            <w:tcW w:w="57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Unrealized Gains</w:t>
            </w:r>
          </w:p>
        </w:tc>
        <w:tc>
          <w:tcPr>
            <w:tcW w:w="2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0"/>
                <w:szCs w:val="20"/>
                <w:color w:val="auto"/>
              </w:rPr>
            </w:pPr>
          </w:p>
        </w:tc>
        <w:tc>
          <w:tcPr>
            <w:tcW w:w="110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Fair Value</w:t>
            </w:r>
          </w:p>
        </w:tc>
      </w:tr>
      <w:tr>
        <w:trPr>
          <w:trHeight w:val="250"/>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Commercial paper</w:t>
            </w:r>
          </w:p>
        </w:tc>
        <w:tc>
          <w:tcPr>
            <w:tcW w:w="34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14,878</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14,885</w:t>
            </w:r>
          </w:p>
        </w:tc>
      </w:tr>
      <w:tr>
        <w:trPr>
          <w:trHeight w:val="257"/>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Corporate bonds</w:t>
            </w:r>
          </w:p>
        </w:tc>
        <w:tc>
          <w:tcPr>
            <w:tcW w:w="3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78,652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78,745</w:t>
            </w:r>
          </w:p>
        </w:tc>
      </w:tr>
      <w:tr>
        <w:trPr>
          <w:trHeight w:val="257"/>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U.S. Government agencies</w:t>
            </w:r>
          </w:p>
        </w:tc>
        <w:tc>
          <w:tcPr>
            <w:tcW w:w="3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14,031</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14,032</w:t>
            </w:r>
          </w:p>
        </w:tc>
      </w:tr>
      <w:tr>
        <w:trPr>
          <w:trHeight w:val="250"/>
        </w:trPr>
        <w:tc>
          <w:tcPr>
            <w:tcW w:w="57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3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107,561</w:t>
            </w:r>
          </w:p>
        </w:tc>
        <w:tc>
          <w:tcPr>
            <w:tcW w:w="100" w:type="dxa"/>
            <w:vAlign w:val="bottom"/>
          </w:tcPr>
          <w:p>
            <w:pPr>
              <w:spacing w:after="0"/>
              <w:rPr>
                <w:sz w:val="21"/>
                <w:szCs w:val="21"/>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107,662</w:t>
            </w: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investments were comprised of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85"/>
              <w:spacing w:after="0" w:line="198"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4"/>
        </w:trPr>
        <w:tc>
          <w:tcPr>
            <w:tcW w:w="5740" w:type="dxa"/>
            <w:vAlign w:val="bottom"/>
          </w:tcPr>
          <w:p>
            <w:pPr>
              <w:spacing w:after="0"/>
              <w:rPr>
                <w:sz w:val="20"/>
                <w:szCs w:val="20"/>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Amortized Cost</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Gains</w:t>
            </w: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Losses</w:t>
            </w:r>
          </w:p>
        </w:tc>
        <w:tc>
          <w:tcPr>
            <w:tcW w:w="200" w:type="dxa"/>
            <w:vAlign w:val="bottom"/>
          </w:tcPr>
          <w:p>
            <w:pPr>
              <w:spacing w:after="0"/>
              <w:rPr>
                <w:sz w:val="20"/>
                <w:szCs w:val="20"/>
                <w:color w:val="auto"/>
              </w:rPr>
            </w:pPr>
          </w:p>
        </w:tc>
        <w:tc>
          <w:tcPr>
            <w:tcW w:w="110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Fair Value</w:t>
            </w:r>
          </w:p>
        </w:tc>
      </w:tr>
      <w:tr>
        <w:trPr>
          <w:trHeight w:val="250"/>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Commercial paper</w:t>
            </w:r>
          </w:p>
        </w:tc>
        <w:tc>
          <w:tcPr>
            <w:tcW w:w="40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34,900</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34,914</w:t>
            </w:r>
          </w:p>
        </w:tc>
      </w:tr>
      <w:tr>
        <w:trPr>
          <w:trHeight w:val="257"/>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Corporate bonds</w:t>
            </w: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27,224</w:t>
            </w:r>
          </w:p>
        </w:tc>
      </w:tr>
      <w:tr>
        <w:trPr>
          <w:trHeight w:val="27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w:t>
            </w:r>
          </w:p>
        </w:tc>
        <w:tc>
          <w:tcPr>
            <w:tcW w:w="400" w:type="dxa"/>
            <w:vAlign w:val="bottom"/>
            <w:tcBorders>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62,114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62,138</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all marketable securities held by the Company had remaining contractual maturities of three years or less.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2024, all marketable securities held by the Company had remaining contractual maturities of one year or less.</w:t>
      </w:r>
    </w:p>
    <w:p>
      <w:pPr>
        <w:spacing w:after="0" w:line="21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As of December 31, 2025 and 2024, the Company reviewed its investment portfolio to assess the unrealized losses on its available-for-sale investments. In assessing the value of these securities, the Company evaluated whether it intended to sell the security and whether it was more likely than not that the Company would be required to sell the security before recovering its amortized cost basis. The Company also determined no portion of the unrealized losses relate to a credit loss. There have been no impairments of the Company’s assets measured and carried at fair value during the years ended December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5. PROPERTY AND EQUIPMENT</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59"/>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8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900" w:type="dxa"/>
            <w:vAlign w:val="bottom"/>
          </w:tcPr>
          <w:p>
            <w:pPr>
              <w:spacing w:after="0"/>
              <w:rPr>
                <w:sz w:val="23"/>
                <w:szCs w:val="23"/>
                <w:color w:val="auto"/>
              </w:rPr>
            </w:pPr>
          </w:p>
        </w:tc>
      </w:tr>
      <w:tr>
        <w:trPr>
          <w:trHeight w:val="61"/>
        </w:trPr>
        <w:tc>
          <w:tcPr>
            <w:tcW w:w="83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2"/>
        </w:trPr>
        <w:tc>
          <w:tcPr>
            <w:tcW w:w="8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2024</w:t>
            </w:r>
          </w:p>
        </w:tc>
      </w:tr>
      <w:tr>
        <w:trPr>
          <w:trHeight w:val="52"/>
        </w:trPr>
        <w:tc>
          <w:tcPr>
            <w:tcW w:w="8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Furniture and fixtures</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6"/>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Leasehold improvements</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2,512</w:t>
            </w:r>
          </w:p>
        </w:tc>
      </w:tr>
      <w:tr>
        <w:trPr>
          <w:trHeight w:val="250"/>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Property and equipment</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1,593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2,529</w:t>
            </w:r>
          </w:p>
        </w:tc>
      </w:tr>
      <w:tr>
        <w:trPr>
          <w:trHeight w:val="25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(1,142)</w:t>
            </w:r>
          </w:p>
        </w:tc>
      </w:tr>
      <w:tr>
        <w:trPr>
          <w:trHeight w:val="27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1,387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Depreciation expense for the years ended December 31, 2025 and 2024 was $325 and $343,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EQUITY METHOD INVESTMENT</w:t>
      </w:r>
    </w:p>
    <w:p>
      <w:pPr>
        <w:spacing w:after="0" w:line="233"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19"/>
          <w:szCs w:val="19"/>
          <w:color w:val="auto"/>
        </w:rPr>
        <w:t>In December 2022, the Company received 9,000,000 shares of common stock in a newly formed antibody-focused precision oncology company, Revelio Therapeutics, Inc. (Revelio) (formerly known as Launchpad Therapeutics, Inc.), in exchange for contributing early discovery-stage antibody programs and granting Revelio a license to use its MAP drug discovery engine to discover, develop and commercialize large molecule therapeutics. As of December 31, 2025 and 2024, the Company had a voting interest in Revelio of 15.1% and 20.8%, respectively, and one seat on Revelio’s Board of Directors, which provide the Company with significant influence over Revelio. Other investors in Revelio include Versant Ventures and New Enterprise Associates (NEA), who are shareholders of the Company.</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Company accounted for the transaction under the equity method. As of the year ended December 31, 2025 and 2024, the carrying value of the investment in Revelio was zero. Since the Company has no obligation to provide financing support to Revelio, the Company is not required to record further losses exceeding the carrying value of the investment. The Company also determined that its investment in Revelio is not material or significant to its operations or financial position.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 ACCRUED EXPENSES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45"/>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7"/>
        </w:trPr>
        <w:tc>
          <w:tcPr>
            <w:tcW w:w="83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900" w:type="dxa"/>
            <w:vAlign w:val="bottom"/>
            <w:tcBorders>
              <w:bottom w:val="single" w:sz="8" w:color="auto"/>
            </w:tcBorders>
          </w:tcPr>
          <w:p>
            <w:pPr>
              <w:spacing w:after="0"/>
              <w:rPr>
                <w:sz w:val="24"/>
                <w:szCs w:val="24"/>
                <w:color w:val="auto"/>
              </w:rPr>
            </w:pPr>
          </w:p>
        </w:tc>
      </w:tr>
      <w:tr>
        <w:trPr>
          <w:trHeight w:val="256"/>
        </w:trPr>
        <w:tc>
          <w:tcPr>
            <w:tcW w:w="8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2024</w:t>
            </w:r>
          </w:p>
        </w:tc>
      </w:tr>
      <w:tr>
        <w:trPr>
          <w:trHeight w:val="52"/>
        </w:trPr>
        <w:tc>
          <w:tcPr>
            <w:tcW w:w="83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Accrued research and development costs</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7,951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8,226</w:t>
            </w:r>
          </w:p>
        </w:tc>
      </w:tr>
      <w:tr>
        <w:trPr>
          <w:trHeight w:val="257"/>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Payroll and related expenses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4,373</w:t>
            </w:r>
          </w:p>
        </w:tc>
      </w:tr>
      <w:tr>
        <w:trPr>
          <w:trHeight w:val="25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Professional and consulting fees</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563</w:t>
            </w:r>
          </w:p>
        </w:tc>
      </w:tr>
      <w:tr>
        <w:trPr>
          <w:trHeight w:val="256"/>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Current portion of operating lease liability</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3,404</w:t>
            </w:r>
          </w:p>
        </w:tc>
      </w:tr>
      <w:tr>
        <w:trPr>
          <w:trHeight w:val="27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15,152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16,566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2020 Stock Option and Incentive Plan</w:t>
      </w:r>
    </w:p>
    <w:p>
      <w:pPr>
        <w:spacing w:after="0" w:line="23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The 2020 Stock Option and Incentive Plan (the 2020 Plan) was approved by the Company’s board of directors on December 5, 2019, and the Company’s stockholders on January 14, 2020 and became effective on the date immediately prior to the date on which the registration statement for the Company’s initial public offering (IPO) was declared effective.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initially reserved for issuance under the 2020 Plan was 6,665,891, which was cumulatively increased on January 1, 2021 and each January 1 thereafter by 4% of the number of shares of the Company’s common stock outstanding on the immediately preceding December 31 or such lesser number of shares determined by the Company’s board of directors or compensation committee of the board of directors. As of December 31, 2025, 5,974,583 shares remained available for issuance under the 2020 Plan. The number of authorized shares reserved for issuance under the 2020 Plan was increased by 2,285,522 shares effective as of January 1, 2026.</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2020 Employee Stock Purchase Plan</w:t>
      </w:r>
    </w:p>
    <w:p>
      <w:pPr>
        <w:spacing w:after="0" w:line="23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The 2020 Employee Stock Purchase Plan (the 2020 ESPP) was approved by the Company’s board of directors on December 5, 2019, and the Company’s stockholders on January 14, 2020, and became effective on the date immediately prior to the date on which the registration statement for the Company’s IPO was declared effective. A total of 326,364 shares of common stock were initially reserved for issuance under this plan, which was cumulatively increased on January 1, 2021 and each January 1 thereafter by 1% of the number of shares of the Company’s common stock outstanding on the immediately preceding December 31 or such lesser number of shares determined by the Company’s board of directors or compensation committee of the board of directors. As of December 31, 2025, 1,690,512 shares remained available for issuance under the 2020 ESPP. The number of authorized shares reserved for issuance under the 2020 ESPP was increased by 326,364 shares effective as of January 1,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Option valuation</w:t>
      </w:r>
    </w:p>
    <w:p>
      <w:pPr>
        <w:spacing w:after="0" w:line="233"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The assumptions that the Company used to determine the grant-date fair value of options granted were as follows, presented on a weighted-average basis: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860" w:type="dxa"/>
            <w:vAlign w:val="bottom"/>
            <w:tcBorders>
              <w:bottom w:val="single" w:sz="8" w:color="auto"/>
            </w:tcBorders>
            <w:gridSpan w:val="7"/>
          </w:tcPr>
          <w:p>
            <w:pPr>
              <w:jc w:val="right"/>
              <w:ind w:right="1080"/>
              <w:spacing w:after="0"/>
              <w:rPr>
                <w:sz w:val="20"/>
                <w:szCs w:val="20"/>
                <w:color w:val="auto"/>
              </w:rPr>
            </w:pPr>
            <w:r>
              <w:rPr>
                <w:rFonts w:ascii="Times New Roman" w:cs="Times New Roman" w:eastAsia="Times New Roman" w:hAnsi="Times New Roman"/>
                <w:sz w:val="20"/>
                <w:szCs w:val="20"/>
                <w:color w:val="auto"/>
              </w:rPr>
              <w:t>December 31,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color w:val="auto"/>
              </w:rPr>
              <w:t>2024</w:t>
            </w:r>
          </w:p>
        </w:tc>
        <w:tc>
          <w:tcPr>
            <w:tcW w:w="10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Risk-free interest rate</w:t>
            </w:r>
          </w:p>
        </w:tc>
        <w:tc>
          <w:tcPr>
            <w:tcW w:w="1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4.29 %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4.23 %</w:t>
            </w: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Expected term (in years)</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
        </w:trPr>
        <w:tc>
          <w:tcPr>
            <w:tcW w:w="5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Expected volatility</w:t>
            </w: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97.2 %</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83.2 %</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Expected dividend yield</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5"/>
        </w:trPr>
        <w:tc>
          <w:tcPr>
            <w:tcW w:w="52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Options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26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The following table summarizes the stock option activity under the Company’s equity awards plans:</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5"/>
              </w:rPr>
              <w:t>Weighted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auto"/>
                <w:w w:val="95"/>
              </w:rPr>
              <w:t>Weighted</w:t>
            </w:r>
          </w:p>
        </w:tc>
        <w:tc>
          <w:tcPr>
            <w:tcW w:w="114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7"/>
              </w:rPr>
              <w:t>Average</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20"/>
                <w:szCs w:val="20"/>
                <w:color w:val="auto"/>
                <w:w w:val="97"/>
              </w:rPr>
              <w:t>Average</w:t>
            </w:r>
          </w:p>
        </w:tc>
        <w:tc>
          <w:tcPr>
            <w:tcW w:w="114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7"/>
              </w:rPr>
              <w:t>Remaining</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8"/>
              </w:rPr>
              <w:t>Intrinsic</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color w:val="auto"/>
                <w:w w:val="98"/>
              </w:rPr>
              <w:t>Exercise</w:t>
            </w:r>
          </w:p>
        </w:tc>
        <w:tc>
          <w:tcPr>
            <w:tcW w:w="114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rPr>
              <w:t>Life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2"/>
              </w:rPr>
              <w:t>Value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26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Options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20"/>
                <w:szCs w:val="20"/>
                <w:color w:val="auto"/>
              </w:rPr>
              <w:t>Price</w:t>
            </w:r>
          </w:p>
        </w:tc>
        <w:tc>
          <w:tcPr>
            <w:tcW w:w="8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ind w:left="181"/>
              <w:spacing w:after="0"/>
              <w:rPr>
                <w:sz w:val="20"/>
                <w:szCs w:val="20"/>
                <w:color w:val="auto"/>
              </w:rPr>
            </w:pPr>
            <w:r>
              <w:rPr>
                <w:rFonts w:ascii="Times New Roman" w:cs="Times New Roman" w:eastAsia="Times New Roman" w:hAnsi="Times New Roman"/>
                <w:sz w:val="20"/>
                <w:szCs w:val="20"/>
                <w:color w:val="auto"/>
                <w:w w:val="96"/>
              </w:rPr>
              <w:t>(in Years)</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w w:val="98"/>
              </w:rPr>
              <w:t>(in thousands)</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Outstanding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9,434,742</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7.48</w:t>
            </w: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5"/>
              </w:rPr>
              <w:t>6.6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313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1,976,600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2.51</w:t>
            </w: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(85,274)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2.45</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Cancelled or 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(862,122)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9.73</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(814,141)</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13.19</w:t>
            </w:r>
          </w:p>
        </w:tc>
        <w:tc>
          <w:tcPr>
            <w:tcW w:w="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Outstanding December 31,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9,649,805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5.83</w:t>
            </w: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5"/>
              </w:rPr>
              <w:t>7.1</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Options vested or expected to vest at December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9,649,805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5.83</w:t>
            </w: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w w:val="95"/>
              </w:rPr>
              <w:t>7.1</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498</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20"/>
                <w:szCs w:val="20"/>
                <w:color w:val="auto"/>
              </w:rPr>
              <w:t>Options exercisable at December 31, 2025</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60" w:type="dxa"/>
            <w:vAlign w:val="bottom"/>
            <w:vMerge w:val="continue"/>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5,750,898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7.56</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5"/>
              </w:rPr>
              <w:t>6.2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7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weighted-average grant-date fair value per share of options granted during the years ended December 31, 2025 and 2024 was $2.00 and $3.45,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total fair value of options vested during the years ended December 31, 2025 and 2024 was $6,130 and $6,409, respectively.</w:t>
      </w:r>
    </w:p>
    <w:p>
      <w:pPr>
        <w:sectPr>
          <w:pgSz w:w="11900" w:h="16838" w:orient="portrait"/>
          <w:cols w:equalWidth="0" w:num="1">
            <w:col w:w="11180"/>
          </w:cols>
          <w:pgMar w:left="320" w:top="360" w:right="39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w:t>
      </w:r>
    </w:p>
    <w:p>
      <w:pPr>
        <w:spacing w:after="0" w:line="23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Under terms of the restricted stock agreements covering the common stock, shares of restricted common stock are subject to a vesting schedule. The majority of restricted stock vests over a two-year period during which time all unvested stock will immediately be forfeited to the Company if the relationship between the recipient and the Company ceases. Subject to the continued employment (or other engagement of the recipient by the Company as described in the restricted stock agreements), all shares of restricted common stock become fully vested within two years of the vesting commencement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rPr>
              <w:t>The following table summarizes restricted stock activity:</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8"/>
        </w:trPr>
        <w:tc>
          <w:tcPr>
            <w:tcW w:w="8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5"/>
              </w:rPr>
              <w:t>Weighted</w:t>
            </w:r>
          </w:p>
        </w:tc>
      </w:tr>
      <w:tr>
        <w:trPr>
          <w:trHeight w:val="229"/>
        </w:trPr>
        <w:tc>
          <w:tcPr>
            <w:tcW w:w="8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9"/>
              </w:rPr>
              <w:t>average</w:t>
            </w:r>
          </w:p>
        </w:tc>
      </w:tr>
      <w:tr>
        <w:trPr>
          <w:trHeight w:val="243"/>
        </w:trPr>
        <w:tc>
          <w:tcPr>
            <w:tcW w:w="8320" w:type="dxa"/>
            <w:vAlign w:val="bottom"/>
          </w:tcPr>
          <w:p>
            <w:pPr>
              <w:spacing w:after="0"/>
              <w:rPr>
                <w:sz w:val="21"/>
                <w:szCs w:val="21"/>
                <w:color w:val="auto"/>
              </w:rPr>
            </w:pPr>
          </w:p>
        </w:tc>
        <w:tc>
          <w:tcPr>
            <w:tcW w:w="140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Number of</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grant date</w:t>
            </w:r>
          </w:p>
        </w:tc>
      </w:tr>
      <w:tr>
        <w:trPr>
          <w:trHeight w:val="258"/>
        </w:trPr>
        <w:tc>
          <w:tcPr>
            <w:tcW w:w="8320" w:type="dxa"/>
            <w:vAlign w:val="bottom"/>
          </w:tcPr>
          <w:p>
            <w:pPr>
              <w:spacing w:after="0"/>
              <w:rPr>
                <w:sz w:val="22"/>
                <w:szCs w:val="22"/>
                <w:color w:val="auto"/>
              </w:rPr>
            </w:pPr>
          </w:p>
        </w:tc>
        <w:tc>
          <w:tcPr>
            <w:tcW w:w="140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rPr>
              <w:t>shares</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7"/>
              </w:rPr>
              <w:t>fair value</w:t>
            </w:r>
          </w:p>
        </w:tc>
      </w:tr>
      <w:tr>
        <w:trPr>
          <w:trHeight w:val="34"/>
        </w:trPr>
        <w:tc>
          <w:tcPr>
            <w:tcW w:w="83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Unvested restricted common stock as of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3.66</w:t>
            </w:r>
          </w:p>
        </w:tc>
      </w:tr>
      <w:tr>
        <w:trPr>
          <w:trHeight w:val="257"/>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32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w:t>
            </w:r>
          </w:p>
        </w:tc>
      </w:tr>
      <w:tr>
        <w:trPr>
          <w:trHeight w:val="257"/>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(490,000)</w:t>
            </w:r>
          </w:p>
        </w:tc>
        <w:tc>
          <w:tcPr>
            <w:tcW w:w="3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3.66</w:t>
            </w:r>
          </w:p>
        </w:tc>
      </w:tr>
      <w:tr>
        <w:trPr>
          <w:trHeight w:val="25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Cancelled or 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(50,000)</w:t>
            </w:r>
          </w:p>
        </w:tc>
        <w:tc>
          <w:tcPr>
            <w:tcW w:w="320" w:type="dxa"/>
            <w:vAlign w:val="bottom"/>
            <w:tcBorders>
              <w:bottom w:val="single" w:sz="8" w:color="CCEEFF"/>
            </w:tcBorders>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20"/>
                <w:szCs w:val="20"/>
                <w:color w:val="auto"/>
              </w:rPr>
              <w:t>3.66</w:t>
            </w: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Unvested restricted common stock as of December 31,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3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2.52</w:t>
            </w:r>
          </w:p>
        </w:tc>
      </w:tr>
    </w:tbl>
    <w:p>
      <w:pPr>
        <w:spacing w:after="0" w:line="200" w:lineRule="exact"/>
        <w:rPr>
          <w:sz w:val="20"/>
          <w:szCs w:val="20"/>
          <w:color w:val="auto"/>
        </w:rPr>
      </w:pPr>
    </w:p>
    <w:p>
      <w:pPr>
        <w:spacing w:after="0" w:line="331" w:lineRule="exact"/>
        <w:rPr>
          <w:sz w:val="20"/>
          <w:szCs w:val="20"/>
          <w:color w:val="auto"/>
        </w:rPr>
      </w:pPr>
    </w:p>
    <w:p>
      <w:pPr>
        <w:ind w:right="1020"/>
        <w:spacing w:after="0" w:line="269" w:lineRule="auto"/>
        <w:rPr>
          <w:sz w:val="20"/>
          <w:szCs w:val="20"/>
          <w:color w:val="auto"/>
        </w:rPr>
      </w:pPr>
      <w:r>
        <w:rPr>
          <w:rFonts w:ascii="Times New Roman" w:cs="Times New Roman" w:eastAsia="Times New Roman" w:hAnsi="Times New Roman"/>
          <w:sz w:val="20"/>
          <w:szCs w:val="20"/>
          <w:color w:val="auto"/>
        </w:rPr>
        <w:t>The aggregate fair value of restricted stock that vested during the years ended December 31, 2025 and 2024 was $1,793 and $48,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recorded stock-based compensation expense in the following award type categories included within its consolidated statements of operations and comprehensive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900" w:type="dxa"/>
            <w:vAlign w:val="bottom"/>
            <w:tcBorders>
              <w:bottom w:val="single" w:sz="8" w:color="auto"/>
            </w:tcBorders>
          </w:tcPr>
          <w:p>
            <w:pPr>
              <w:spacing w:after="0"/>
              <w:rPr>
                <w:sz w:val="22"/>
                <w:szCs w:val="22"/>
                <w:color w:val="auto"/>
              </w:rPr>
            </w:pPr>
          </w:p>
        </w:tc>
      </w:tr>
      <w:tr>
        <w:trPr>
          <w:trHeight w:val="256"/>
        </w:trPr>
        <w:tc>
          <w:tcPr>
            <w:tcW w:w="83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89"/>
              </w:rPr>
              <w:t>2024</w:t>
            </w:r>
          </w:p>
        </w:tc>
      </w:tr>
      <w:tr>
        <w:trPr>
          <w:trHeight w:val="39"/>
        </w:trPr>
        <w:tc>
          <w:tcPr>
            <w:tcW w:w="8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Stock options</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9,940</w:t>
            </w:r>
          </w:p>
        </w:tc>
      </w:tr>
      <w:tr>
        <w:trPr>
          <w:trHeight w:val="257"/>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Restricted stock units</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w:t>
            </w:r>
          </w:p>
        </w:tc>
      </w:tr>
      <w:tr>
        <w:trPr>
          <w:trHeight w:val="25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Employee Stock Purchase Plan and Other</w:t>
            </w:r>
          </w:p>
        </w:tc>
        <w:tc>
          <w:tcPr>
            <w:tcW w:w="3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255</w:t>
            </w:r>
          </w:p>
        </w:tc>
      </w:tr>
      <w:tr>
        <w:trPr>
          <w:trHeight w:val="260"/>
        </w:trPr>
        <w:tc>
          <w:tcPr>
            <w:tcW w:w="8320" w:type="dxa"/>
            <w:vAlign w:val="bottom"/>
          </w:tcPr>
          <w:p>
            <w:pPr>
              <w:spacing w:after="0"/>
              <w:rPr>
                <w:sz w:val="22"/>
                <w:szCs w:val="22"/>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6,628</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10,627</w:t>
            </w:r>
          </w:p>
        </w:tc>
      </w:tr>
      <w:tr>
        <w:trPr>
          <w:trHeight w:val="24"/>
        </w:trPr>
        <w:tc>
          <w:tcPr>
            <w:tcW w:w="8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20"/>
          <w:szCs w:val="20"/>
          <w:color w:val="auto"/>
        </w:rPr>
        <w:t>For the years ended December 31, 2025 and 2024, the Company issued 44,197 and 37,407 shares, respectively, of common stock out of the 2020 Plan under the Company’s policy where non-employee directors may elect to receive their compensation in the form of common stock in lieu of cash.</w:t>
      </w:r>
    </w:p>
    <w:p>
      <w:pPr>
        <w:spacing w:after="0" w:line="161" w:lineRule="exact"/>
        <w:rPr>
          <w:sz w:val="20"/>
          <w:szCs w:val="20"/>
          <w:color w:val="auto"/>
        </w:rPr>
      </w:pPr>
    </w:p>
    <w:p>
      <w:pPr>
        <w:ind w:right="640"/>
        <w:spacing w:after="0" w:line="267" w:lineRule="auto"/>
        <w:rPr>
          <w:sz w:val="20"/>
          <w:szCs w:val="20"/>
          <w:color w:val="auto"/>
        </w:rPr>
      </w:pPr>
      <w:r>
        <w:rPr>
          <w:rFonts w:ascii="Times New Roman" w:cs="Times New Roman" w:eastAsia="Times New Roman" w:hAnsi="Times New Roman"/>
          <w:sz w:val="20"/>
          <w:szCs w:val="20"/>
          <w:color w:val="auto"/>
        </w:rPr>
        <w:t>The Company recorded stock-based compensation expense related to stock options and restricted stock units in the following expense categories of its consolidated statements of operations and comprehensive loss: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20"/>
                <w:szCs w:val="20"/>
                <w:color w:val="auto"/>
                <w:w w:val="98"/>
              </w:rPr>
              <w:t>December 31,</w:t>
            </w:r>
          </w:p>
        </w:tc>
        <w:tc>
          <w:tcPr>
            <w:tcW w:w="900" w:type="dxa"/>
            <w:vAlign w:val="bottom"/>
            <w:tcBorders>
              <w:bottom w:val="single" w:sz="8" w:color="auto"/>
            </w:tcBorders>
          </w:tcPr>
          <w:p>
            <w:pPr>
              <w:spacing w:after="0"/>
              <w:rPr>
                <w:sz w:val="22"/>
                <w:szCs w:val="22"/>
                <w:color w:val="auto"/>
              </w:rPr>
            </w:pPr>
          </w:p>
        </w:tc>
      </w:tr>
      <w:tr>
        <w:trPr>
          <w:trHeight w:val="304"/>
        </w:trPr>
        <w:tc>
          <w:tcPr>
            <w:tcW w:w="83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w w:val="89"/>
              </w:rPr>
              <w:t>2024</w:t>
            </w:r>
          </w:p>
        </w:tc>
      </w:tr>
      <w:tr>
        <w:trPr>
          <w:trHeight w:val="29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3,009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2,583</w:t>
            </w:r>
          </w:p>
        </w:tc>
      </w:tr>
      <w:tr>
        <w:trPr>
          <w:trHeight w:val="30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20"/>
                <w:szCs w:val="20"/>
                <w:color w:val="auto"/>
              </w:rPr>
              <w:t>3,619</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8,044</w:t>
            </w:r>
          </w:p>
        </w:tc>
      </w:tr>
      <w:tr>
        <w:trPr>
          <w:trHeight w:val="288"/>
        </w:trPr>
        <w:tc>
          <w:tcPr>
            <w:tcW w:w="83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20"/>
                <w:szCs w:val="20"/>
                <w:color w:val="auto"/>
              </w:rPr>
              <w:t>6,628</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10,627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20"/>
          <w:szCs w:val="20"/>
          <w:color w:val="auto"/>
        </w:rPr>
        <w:t>As of December 31, 2025, total unrecognized compensation cost related to the unvested stock options was $8,145, which is expected to be recognized over a weighted average period of 2.1 years.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As of December 31, 2025, total unrecognized compensation cost related to the unvested restricted stock units was $612, which is expected to be recognized over a weighted average period of 1.1 years.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23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2020 ESPP enables eligible employees to purchase shares of the Company's common stock at the end of each six-month offering period at a price equal to 85% of the fair market value of the shares on the first business day or the last business day of the offering period, whichever is lower. Eligible employees generally includes all employees. Offering periods begin on the first trading day of January and July of each year and end on the last trading day in June and December of each year. Share purchases are funded through payroll deductions of up to 10% of an employee’s eligible compensation for each payroll period, up to $25 each calendar year.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2025 and 2024, there were 24,741 and 114,102 shares, respectively, issued under the 2020 ESPP.</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 INCOME TAXES</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473"/>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rPr>
              <w:t>Income (loss) before income tax expense consists of the following:</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4"/>
        </w:trPr>
        <w:tc>
          <w:tcPr>
            <w:tcW w:w="83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900" w:type="dxa"/>
            <w:vAlign w:val="bottom"/>
            <w:tcBorders>
              <w:bottom w:val="single" w:sz="8" w:color="auto"/>
            </w:tcBorders>
          </w:tcPr>
          <w:p>
            <w:pPr>
              <w:spacing w:after="0"/>
              <w:rPr>
                <w:sz w:val="23"/>
                <w:szCs w:val="23"/>
                <w:color w:val="auto"/>
              </w:rPr>
            </w:pPr>
          </w:p>
        </w:tc>
      </w:tr>
      <w:tr>
        <w:trPr>
          <w:trHeight w:val="291"/>
        </w:trPr>
        <w:tc>
          <w:tcPr>
            <w:tcW w:w="83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w w:val="89"/>
              </w:rPr>
              <w:t>2024</w:t>
            </w:r>
          </w:p>
        </w:tc>
      </w:tr>
      <w:tr>
        <w:trPr>
          <w:trHeight w:val="25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22,365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(69,676)</w:t>
            </w:r>
          </w:p>
        </w:tc>
      </w:tr>
      <w:tr>
        <w:trPr>
          <w:trHeight w:val="257"/>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98"/>
        </w:trPr>
        <w:tc>
          <w:tcPr>
            <w:tcW w:w="8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income (loss) before income taxes</w:t>
            </w:r>
          </w:p>
        </w:tc>
        <w:tc>
          <w:tcPr>
            <w:tcW w:w="30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22,365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(69,676)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680"/>
        <w:spacing w:after="0" w:line="283" w:lineRule="auto"/>
        <w:rPr>
          <w:sz w:val="20"/>
          <w:szCs w:val="20"/>
          <w:color w:val="auto"/>
        </w:rPr>
      </w:pPr>
      <w:r>
        <w:rPr>
          <w:rFonts w:ascii="Times New Roman" w:cs="Times New Roman" w:eastAsia="Times New Roman" w:hAnsi="Times New Roman"/>
          <w:sz w:val="20"/>
          <w:szCs w:val="20"/>
          <w:color w:val="auto"/>
        </w:rPr>
        <w:t>For the years ended December 31, 2025 and 2024, the Company recorded no income tax benefit for the net operating income (losses) incurred each year, due to its uncertainty of realizing a benefit from those items.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reconciliation of income taxes at the federal statutory rate to the reported rate for income taxes pursuant to the disclosure requirements of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ASU 2023-09 for the year ended December 31, 2025 is as follows:</w:t>
      </w:r>
    </w:p>
    <w:p>
      <w:pPr>
        <w:spacing w:after="0" w:line="79"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20"/>
          <w:szCs w:val="20"/>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22860</wp:posOffset>
            </wp:positionV>
            <wp:extent cx="19456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U.S. federal taxes at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974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State Income taxes, net of federal benefit*</w:t>
      </w:r>
    </w:p>
    <w:p>
      <w:pPr>
        <w:spacing w:after="0" w:line="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Tax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62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Federal R&amp;D Tax credits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Changes in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Nontaxable or nondeductible expenses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96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Other</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Total</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24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Amount</w:t>
            </w:r>
          </w:p>
        </w:tc>
        <w:tc>
          <w:tcPr>
            <w:tcW w:w="15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rPr>
              <w:t>Percentage</w:t>
            </w:r>
          </w:p>
        </w:tc>
      </w:tr>
      <w:tr>
        <w:trPr>
          <w:trHeight w:val="287"/>
        </w:trPr>
        <w:tc>
          <w:tcPr>
            <w:tcW w:w="24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4,753</w:t>
            </w:r>
          </w:p>
        </w:tc>
        <w:tc>
          <w:tcPr>
            <w:tcW w:w="100" w:type="dxa"/>
            <w:vAlign w:val="bottom"/>
          </w:tcPr>
          <w:p>
            <w:pPr>
              <w:spacing w:after="0"/>
              <w:rPr>
                <w:sz w:val="24"/>
                <w:szCs w:val="2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310"/>
        </w:trPr>
        <w:tc>
          <w:tcPr>
            <w:tcW w:w="2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0.0 %</w:t>
            </w:r>
          </w:p>
        </w:tc>
      </w:tr>
      <w:tr>
        <w:trPr>
          <w:trHeight w:val="511"/>
        </w:trPr>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(1,266)</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58"/>
        </w:trPr>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(5,566)</w:t>
            </w:r>
          </w:p>
        </w:tc>
        <w:tc>
          <w:tcPr>
            <w:tcW w:w="1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r>
    </w:tbl>
    <w:p>
      <w:pPr>
        <w:spacing w:after="0" w:line="309" w:lineRule="exact"/>
        <w:rPr>
          <w:sz w:val="20"/>
          <w:szCs w:val="20"/>
          <w:color w:val="auto"/>
        </w:rPr>
      </w:pPr>
    </w:p>
    <w:p>
      <w:pPr>
        <w:ind w:left="880"/>
        <w:spacing w:after="0"/>
        <w:tabs>
          <w:tab w:leader="none" w:pos="2560" w:val="left"/>
        </w:tabs>
        <w:rPr>
          <w:sz w:val="20"/>
          <w:szCs w:val="20"/>
          <w:color w:val="auto"/>
        </w:rPr>
      </w:pPr>
      <w:r>
        <w:rPr>
          <w:rFonts w:ascii="Times New Roman" w:cs="Times New Roman" w:eastAsia="Times New Roman" w:hAnsi="Times New Roman"/>
          <w:sz w:val="20"/>
          <w:szCs w:val="20"/>
          <w:color w:val="auto"/>
        </w:rPr>
        <w:t>2,066</w:t>
      </w:r>
      <w:r>
        <w:rPr>
          <w:sz w:val="20"/>
          <w:szCs w:val="20"/>
          <w:color w:val="auto"/>
        </w:rPr>
        <w:tab/>
      </w:r>
      <w:r>
        <w:rPr>
          <w:rFonts w:ascii="Times New Roman" w:cs="Times New Roman" w:eastAsia="Times New Roman" w:hAnsi="Times New Roman"/>
          <w:sz w:val="20"/>
          <w:szCs w:val="20"/>
          <w:color w:val="auto"/>
        </w:rPr>
        <w:t>9.2 %</w:t>
      </w:r>
    </w:p>
    <w:p>
      <w:pPr>
        <w:spacing w:after="0" w:line="81" w:lineRule="exact"/>
        <w:rPr>
          <w:sz w:val="20"/>
          <w:szCs w:val="20"/>
          <w:color w:val="auto"/>
        </w:rPr>
      </w:pPr>
    </w:p>
    <w:p>
      <w:pPr>
        <w:ind w:left="2580" w:hanging="1356"/>
        <w:spacing w:after="0"/>
        <w:tabs>
          <w:tab w:leader="none" w:pos="258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0.0 %</w:t>
      </w:r>
    </w:p>
    <w:p>
      <w:pPr>
        <w:spacing w:after="0" w:line="28" w:lineRule="exact"/>
        <w:rPr>
          <w:rFonts w:ascii="Times New Roman" w:cs="Times New Roman" w:eastAsia="Times New Roman" w:hAnsi="Times New Roman"/>
          <w:sz w:val="20"/>
          <w:szCs w:val="20"/>
          <w:color w:val="auto"/>
        </w:rPr>
      </w:pPr>
    </w:p>
    <w:p>
      <w:pPr>
        <w:ind w:left="12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r>
        <w:rPr>
          <w:rFonts w:ascii="Times New Roman" w:cs="Times New Roman" w:eastAsia="Times New Roman" w:hAnsi="Times New Roman"/>
          <w:sz w:val="19"/>
          <w:szCs w:val="19"/>
          <w:color w:val="auto"/>
        </w:rPr>
        <w:t>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21590</wp:posOffset>
            </wp:positionV>
            <wp:extent cx="19456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1100" w:val="left"/>
          <w:tab w:leader="none" w:pos="256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194564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60"/>
          </w:cols>
          <w:pgMar w:left="320" w:top="360" w:right="339" w:bottom="1440" w:gutter="0" w:footer="0" w:header="0"/>
          <w:type w:val="continuous"/>
        </w:sectPr>
      </w:pPr>
    </w:p>
    <w:p>
      <w:pPr>
        <w:spacing w:after="0" w:line="12" w:lineRule="exact"/>
        <w:rPr>
          <w:sz w:val="20"/>
          <w:szCs w:val="20"/>
          <w:color w:val="auto"/>
        </w:rPr>
      </w:pPr>
    </w:p>
    <w:p>
      <w:pPr>
        <w:ind w:right="540" w:firstLine="8"/>
        <w:spacing w:after="0" w:line="287" w:lineRule="auto"/>
        <w:tabs>
          <w:tab w:leader="none" w:pos="280" w:val="left"/>
        </w:tabs>
        <w:numPr>
          <w:ilvl w:val="0"/>
          <w:numId w:val="71"/>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State taxes in Massachusetts make up the majority (greater than 50 percent) of the tax effect in this category, offset with a valuation allowance.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The reconciliation of income taxes at the federal statutory rate to the reported rate for income taxes for years prior to our adoption of ASU 2023-09 is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260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20"/>
                <w:szCs w:val="20"/>
                <w:color w:val="auto"/>
              </w:rPr>
              <w:t>December 31, 2024</w:t>
            </w:r>
          </w:p>
        </w:tc>
      </w:tr>
      <w:tr>
        <w:trPr>
          <w:trHeight w:val="34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U.S. federal statutory income tax rate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361"/>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State and local taxes, net of federal benefit</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0.4 %</w:t>
            </w:r>
          </w:p>
        </w:tc>
      </w:tr>
      <w:tr>
        <w:trPr>
          <w:trHeight w:val="36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Permanent differences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0.0 %</w:t>
            </w:r>
          </w:p>
        </w:tc>
      </w:tr>
      <w:tr>
        <w:trPr>
          <w:trHeight w:val="257"/>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Stock compensation</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w:t>
            </w:r>
          </w:p>
        </w:tc>
      </w:tr>
      <w:tr>
        <w:trPr>
          <w:trHeight w:val="364"/>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Research and development credits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3.7 %</w:t>
            </w:r>
          </w:p>
        </w:tc>
      </w:tr>
      <w:tr>
        <w:trPr>
          <w:trHeight w:val="361"/>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r>
      <w:tr>
        <w:trPr>
          <w:trHeight w:val="368"/>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0.0 %</w:t>
            </w:r>
          </w:p>
        </w:tc>
      </w:tr>
      <w:tr>
        <w:trPr>
          <w:trHeight w:val="314"/>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Effective income tax rate</w:t>
            </w:r>
          </w:p>
        </w:tc>
        <w:tc>
          <w:tcPr>
            <w:tcW w:w="3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0.0 %</w:t>
            </w:r>
          </w:p>
        </w:tc>
      </w:tr>
      <w:tr>
        <w:trPr>
          <w:trHeight w:val="24"/>
        </w:trPr>
        <w:tc>
          <w:tcPr>
            <w:tcW w:w="8640" w:type="dxa"/>
            <w:vAlign w:val="bottom"/>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783"/>
        </w:trPr>
        <w:tc>
          <w:tcPr>
            <w:tcW w:w="98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The tax effects of temporary differences that gave rise to significant portions of the deferred tax assets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4"/>
        </w:trPr>
        <w:tc>
          <w:tcPr>
            <w:tcW w:w="83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254"/>
        </w:trPr>
        <w:tc>
          <w:tcPr>
            <w:tcW w:w="83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Deferred tax assets (liabilities):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7"/>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81,359</w:t>
            </w:r>
          </w:p>
        </w:tc>
        <w:tc>
          <w:tcPr>
            <w:tcW w:w="100" w:type="dxa"/>
            <w:vAlign w:val="bottom"/>
          </w:tcPr>
          <w:p>
            <w:pPr>
              <w:spacing w:after="0"/>
              <w:rPr>
                <w:sz w:val="22"/>
                <w:szCs w:val="22"/>
                <w:color w:val="auto"/>
              </w:rPr>
            </w:pPr>
          </w:p>
        </w:tc>
        <w:tc>
          <w:tcPr>
            <w:tcW w:w="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78,879</w:t>
            </w:r>
          </w:p>
        </w:tc>
      </w:tr>
      <w:tr>
        <w:trPr>
          <w:trHeight w:val="25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13,123</w:t>
            </w:r>
          </w:p>
        </w:tc>
      </w:tr>
      <w:tr>
        <w:trPr>
          <w:trHeight w:val="257"/>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Capitalized R&amp;D</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26,181</w:t>
            </w:r>
          </w:p>
        </w:tc>
      </w:tr>
      <w:tr>
        <w:trPr>
          <w:trHeight w:val="256"/>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5,152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5,498</w:t>
            </w:r>
          </w:p>
        </w:tc>
      </w:tr>
      <w:tr>
        <w:trPr>
          <w:trHeight w:val="257"/>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Accruals and other</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w:t>
            </w:r>
          </w:p>
        </w:tc>
      </w:tr>
      <w:tr>
        <w:trPr>
          <w:trHeight w:val="257"/>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Net fixed assets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8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Stock-based compensation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7,723</w:t>
            </w: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126,690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132,230</w:t>
            </w:r>
          </w:p>
        </w:tc>
      </w:tr>
      <w:tr>
        <w:trPr>
          <w:trHeight w:val="257"/>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Valuation Allowance</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(124,223)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(127,585)</w:t>
            </w:r>
          </w:p>
        </w:tc>
      </w:tr>
      <w:tr>
        <w:trPr>
          <w:trHeight w:val="25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Subtotal</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2,467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4,645</w:t>
            </w:r>
          </w:p>
        </w:tc>
      </w:tr>
      <w:tr>
        <w:trPr>
          <w:trHeight w:val="256"/>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Right-of-use assets</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(4,641)</w:t>
            </w:r>
          </w:p>
        </w:tc>
      </w:tr>
      <w:tr>
        <w:trPr>
          <w:trHeight w:val="257"/>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Net fixed assets</w:t>
            </w:r>
          </w:p>
        </w:tc>
        <w:tc>
          <w:tcPr>
            <w:tcW w:w="3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0"/>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deferred tax assets</w:t>
            </w:r>
          </w:p>
        </w:tc>
        <w:tc>
          <w:tcPr>
            <w:tcW w:w="32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8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As of December 31, 2025, the Company had gross federal net operating loss carryforwards of $321,624, of which $2,556 begin to expire in 2036 and the remainder do not expire but are subject to 80% limitation. As of December 31, 2025, the Company had state net operating loss carryforwards of $220,719 that begin to expire in 2036. Additionally, the Company had federal research and development tax credit carryforwards of $13,216 that expire at various dates through 2045 and state research and development credit carryforwards of $1,765 that expire at various dates through 2040.</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assessing the realizability of the net deferred tax asset, the Company considers all relevant positive and negative evidence in determining whether it is more likely than not that some portion or all of the deferred income tax assets will not be realized. The realization of the gross deferred tax assets is dependent on several factors, including the generation of sufficient taxable income prior to the expiration of the net operating loss carryforwards. Management believes that it is more likely than not that the Company’s deferred income tax assets will not be realized. As such, there is a full valuation allowance against the net deferred tax assets as of December 31, 2025 and 2024. The valuation allowance decreased by $3,362 during the year ended December 31, 2025 primarily as a result of amortization of previously capitalized R&amp;D expenses partially offset by current year net operating loss and federal research and development tax credits.</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Utilization of the net operating loss carryforwards and research and development tax credit carryforwards may be subject to an annual limitation under Section 382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(by value)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9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Company also has not conducted a study of its research and development credit carryforwards, which may result in an adjustment to research and development credit carryforwards. A full valuation allowance has been provided against the Company’s research and development credits and, if an adjustment is required, this adjustment would be offset by an adjustment to the valuation allowance. Thus, there would be no impact to the balance sheets or statements of operations if an adjustment were required. Further, until a study is completed and any limitation is known, no amounts are being presented as an uncertain tax position.</w:t>
      </w:r>
    </w:p>
    <w:p>
      <w:pPr>
        <w:spacing w:after="0" w:line="19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Company applies the accounting guidance in ASC 740 related to accounting for uncertainty in income taxes. The Company’s reserves related to taxes are based on a determination of whether, and how much of, a tax benefit taken by the Company in its tax filings or positions is more likely than not to be realized following resolution of any potential contingencies present related to the tax benefit. As of December 31, 2025 and 2024, the Company had no unrecognized tax benefits.</w:t>
      </w:r>
    </w:p>
    <w:p>
      <w:pPr>
        <w:spacing w:after="0" w:line="187"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The Company will recognize interest and penalties related to uncertain tax positions in income tax expense. As of December 31, 2025 and 2024, the Company had no accrued interest or penalties related to uncertain tax positions.</w:t>
      </w:r>
    </w:p>
    <w:p>
      <w:pPr>
        <w:spacing w:after="0" w:line="14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statute of limitations for assessment by the Internal Revenue Service remains open for all years from 2022 to the present. The Company’s tax attributes related to years prior to 2022 can still be adjusted under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NET INCOME (LOSS)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income (loss) per share</w:t>
      </w:r>
    </w:p>
    <w:p>
      <w:pPr>
        <w:spacing w:after="0" w:line="233"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9"/>
          <w:szCs w:val="19"/>
          <w:color w:val="auto"/>
        </w:rPr>
        <w:t>We compute basic net income (loss) per common share by dividing net income (loss) by the weighted-average number of common shares outstanding. We compute diluted net income (loss) per common share by dividing net income (loss) by the weighted-average number of common shares and dilutive potential common share equivalents then outstanding during the period. Potential common shares consist of shares issuable upon the vesting of restricted stock units and the exercise of stock options (the proceeds of which are then assumed to have been used to repurchase outstanding shares using the treasury stock method). Because the inclusion of potential common shares would be anti-dilutive for periods presenting a net loss, diluted net loss per common share is the same as basic net loss per common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computation of basic and diluted net income (loss) per share attributable to common shareholders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(in thousands, except share and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8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1080" w:type="dxa"/>
            <w:vAlign w:val="bottom"/>
            <w:tcBorders>
              <w:bottom w:val="single" w:sz="8" w:color="auto"/>
            </w:tcBorders>
          </w:tcPr>
          <w:p>
            <w:pPr>
              <w:spacing w:after="0"/>
              <w:rPr>
                <w:sz w:val="22"/>
                <w:szCs w:val="22"/>
                <w:color w:val="auto"/>
              </w:rPr>
            </w:pPr>
          </w:p>
        </w:tc>
      </w:tr>
      <w:tr>
        <w:trPr>
          <w:trHeight w:val="304"/>
        </w:trPr>
        <w:tc>
          <w:tcPr>
            <w:tcW w:w="78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color w:val="auto"/>
              </w:rPr>
              <w:t>2024</w:t>
            </w:r>
          </w:p>
        </w:tc>
      </w:tr>
      <w:tr>
        <w:trPr>
          <w:trHeight w:val="254"/>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 attributable to common stockholders</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22,367</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(69,676)</w:t>
            </w:r>
          </w:p>
        </w:tc>
      </w:tr>
      <w:tr>
        <w:trPr>
          <w:trHeight w:val="270"/>
        </w:trPr>
        <w:tc>
          <w:tcPr>
            <w:tcW w:w="7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 average common shares outstanding - basic</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56,868,111</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55,028,371</w:t>
            </w:r>
          </w:p>
        </w:tc>
      </w:tr>
      <w:tr>
        <w:trPr>
          <w:trHeight w:val="257"/>
        </w:trPr>
        <w:tc>
          <w:tcPr>
            <w:tcW w:w="7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7"/>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36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244,635</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7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20"/>
                <w:szCs w:val="20"/>
                <w:color w:val="auto"/>
              </w:rPr>
              <w:t>Restricted stock units</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450,000</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Weighted average common shares outstanding - diluted</w:t>
            </w:r>
          </w:p>
        </w:tc>
        <w:tc>
          <w:tcPr>
            <w:tcW w:w="36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57,562,746</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55,028,371</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Net income (loss) per share - basic</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(1.27)</w:t>
            </w:r>
          </w:p>
        </w:tc>
      </w:tr>
      <w:tr>
        <w:trPr>
          <w:trHeight w:val="258"/>
        </w:trPr>
        <w:tc>
          <w:tcPr>
            <w:tcW w:w="78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 income (loss) per share - diluted</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0.39</w:t>
            </w:r>
          </w:p>
        </w:tc>
        <w:tc>
          <w:tcPr>
            <w:tcW w:w="80" w:type="dxa"/>
            <w:vAlign w:val="bottom"/>
          </w:tcPr>
          <w:p>
            <w:pPr>
              <w:spacing w:after="0"/>
              <w:rPr>
                <w:sz w:val="22"/>
                <w:szCs w:val="22"/>
                <w:color w:val="auto"/>
              </w:rPr>
            </w:pPr>
          </w:p>
        </w:tc>
        <w:tc>
          <w:tcPr>
            <w:tcW w:w="560" w:type="dxa"/>
            <w:vAlign w:val="bottom"/>
          </w:tcPr>
          <w:p>
            <w:pPr>
              <w:jc w:val="right"/>
              <w:ind w:right="341"/>
              <w:spacing w:after="0"/>
              <w:rPr>
                <w:sz w:val="20"/>
                <w:szCs w:val="20"/>
                <w:color w:val="auto"/>
              </w:rPr>
            </w:pPr>
            <w:r>
              <w:rPr>
                <w:rFonts w:ascii="Times New Roman" w:cs="Times New Roman" w:eastAsia="Times New Roman" w:hAnsi="Times New Roman"/>
                <w:sz w:val="20"/>
                <w:szCs w:val="20"/>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r>
    </w:tbl>
    <w:p>
      <w:pPr>
        <w:spacing w:after="0" w:line="272" w:lineRule="exact"/>
        <w:rPr>
          <w:sz w:val="20"/>
          <w:szCs w:val="20"/>
          <w:color w:val="auto"/>
        </w:rPr>
      </w:pPr>
    </w:p>
    <w:p>
      <w:pPr>
        <w:ind w:right="640"/>
        <w:spacing w:after="0" w:line="310" w:lineRule="auto"/>
        <w:rPr>
          <w:sz w:val="20"/>
          <w:szCs w:val="20"/>
          <w:color w:val="auto"/>
        </w:rPr>
      </w:pPr>
      <w:r>
        <w:rPr>
          <w:rFonts w:ascii="Times New Roman" w:cs="Times New Roman" w:eastAsia="Times New Roman" w:hAnsi="Times New Roman"/>
          <w:sz w:val="19"/>
          <w:szCs w:val="19"/>
          <w:color w:val="auto"/>
        </w:rPr>
        <w:t>The Company excluded the following potential common shares, presented based on amounts outstanding at each period end, from the computation of diluted net loss per share for the periods indicated because including them would have had an anti-dilutive effect: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340" w:type="dxa"/>
            <w:vAlign w:val="bottom"/>
          </w:tcPr>
          <w:p>
            <w:pPr>
              <w:spacing w:after="0"/>
              <w:rPr>
                <w:sz w:val="22"/>
                <w:szCs w:val="22"/>
                <w:color w:val="auto"/>
              </w:rPr>
            </w:pPr>
          </w:p>
        </w:tc>
        <w:tc>
          <w:tcPr>
            <w:tcW w:w="2900" w:type="dxa"/>
            <w:vAlign w:val="bottom"/>
            <w:tcBorders>
              <w:bottom w:val="single" w:sz="8" w:color="auto"/>
            </w:tcBorders>
            <w:gridSpan w:val="3"/>
          </w:tcPr>
          <w:p>
            <w:pPr>
              <w:jc w:val="right"/>
              <w:ind w:right="801"/>
              <w:spacing w:after="0"/>
              <w:rPr>
                <w:sz w:val="20"/>
                <w:szCs w:val="20"/>
                <w:color w:val="auto"/>
              </w:rPr>
            </w:pPr>
            <w:r>
              <w:rPr>
                <w:rFonts w:ascii="Times New Roman" w:cs="Times New Roman" w:eastAsia="Times New Roman" w:hAnsi="Times New Roman"/>
                <w:sz w:val="20"/>
                <w:szCs w:val="20"/>
                <w:color w:val="auto"/>
              </w:rPr>
              <w:t>December 31,</w:t>
            </w:r>
          </w:p>
        </w:tc>
      </w:tr>
      <w:tr>
        <w:trPr>
          <w:trHeight w:val="304"/>
        </w:trPr>
        <w:tc>
          <w:tcPr>
            <w:tcW w:w="834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2024</w:t>
            </w:r>
          </w:p>
        </w:tc>
      </w:tr>
      <w:tr>
        <w:trPr>
          <w:trHeight w:val="29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Options to purchase common stock</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9,405,170</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9,434,742</w:t>
            </w:r>
          </w:p>
        </w:tc>
      </w:tr>
      <w:tr>
        <w:trPr>
          <w:trHeight w:val="307"/>
        </w:trPr>
        <w:tc>
          <w:tcPr>
            <w:tcW w:w="83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Unvested restricted stock</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540,000</w:t>
            </w:r>
          </w:p>
        </w:tc>
      </w:tr>
      <w:tr>
        <w:trPr>
          <w:trHeight w:val="26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Shares issuable under employee stock purchase plan</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27,518</w:t>
            </w:r>
          </w:p>
        </w:tc>
      </w:tr>
      <w:tr>
        <w:trPr>
          <w:trHeight w:val="307"/>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Warrants to purchase shares of common stock</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10,757</w:t>
            </w:r>
          </w:p>
        </w:tc>
        <w:tc>
          <w:tcPr>
            <w:tcW w:w="10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10,757</w:t>
            </w:r>
          </w:p>
        </w:tc>
      </w:tr>
      <w:tr>
        <w:trPr>
          <w:trHeight w:val="289"/>
        </w:trPr>
        <w:tc>
          <w:tcPr>
            <w:tcW w:w="83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9,415,927</w:t>
            </w:r>
          </w:p>
        </w:tc>
        <w:tc>
          <w:tcPr>
            <w:tcW w:w="1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10,013,017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LEASES</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The Company has historically entered into lease arrangements for its facilities. As of December 31, 2025, the Company had two operating leases with required future minimum payments. In applying the transition guidance under ASC 842, the Company determined the classification of these leases to be operating leases and recorded right-of-use assets and lease liabilities as of the effective dates. The Company’s leases generally do not include termination or purchase options.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23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July 2020, the Company entered into a seven-year agreement with an option to extend for five additional years to lease two floors totaling approximately 25,578 square feet of office space for its principal office, which is located in Cambridge, MA. The lease on the first floor commenced on August 1, 2020 and the lease on the second floor commenced March 9, 2021. The Company recognized the respective lease balances on the consolidated balance sheets when the lease of each floor commenced. Under the terms of the lease, the Company was required to issue a $1,168 letter of credit as security for the lease, which was reduced to $779 in August 2023 pursuant to the terms of the lease agreement. On December 12, 2022, the Company entered into a sublease for one floor of its Cambridge, Massachusetts office space. The sublease terminates on August 31, 2028, which is also the date on which the Company's lease terminates. Further, on December 5, 2025, the Company entered into a sublease for the remaining floor of its Cambridge, Massachusetts office space. The sublease terminates on August 31, 2028, which is also the date on which the Company's lease terminates. Sublease income is recognized on a straight-line basis over the term of the sublease agreement. The Company was not relieved of its primary obligation under the Cambridge office lease as a result of the subleases. There was no impairment recognized as a result of the sublease executed in December 2022. As part of the Company’s evaluation of the December 2025 sublease, it was determined that the estimated undiscounted sublease income exceeded the net book value of the related long-term assets, which includes right-of-use assets and property and equipment associated with the subleased space. Accordingly, the Company recorded an impairment charge of $2,025 related to the right-of-use asset and an impairment charge of $580 related to the associated property and equipment.</w:t>
      </w:r>
    </w:p>
    <w:p>
      <w:pPr>
        <w:spacing w:after="0" w:line="20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December 2020, the Company entered into an eleven-year agreement to lease approximately 18,120 square feet of office and laboratory space in New York, NY. The Company has an option to extend the lease for five additional years. The lease commenced August 26, 2021 and the related lease balance was recognized on the consolidated balance sheet. Additionally, on June 19, 2024, the Company entered into a sublease for its office and laboratory space in New York, NY. The sublease terminates on June 30, 2026, with the option to extend to June 30, 2027. Sublease income is recognized on a straight-line basis over the term of the sublease agreement. The Company was not relieved of its primary obligation under the New York lease as a result of the sublease. In December 2025, the subtenant did not exercise its option to the sublease, accordingly it will terminate on June 30, 2026. As part of the Company’s evaluation of the termination of the sublease, it was determined that the undiscounted cash flows projected from an anticipated future sublease exceeded the net book value of the related long-term assets, which includes right-of-use assets and property and equipment associated with the subleased space. Accordingly, the Company recorded an impairment charge of $4,626 related to the right-of-use asset and an impairment charge of $117 related to the associated property and equipment.</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20"/>
          <w:szCs w:val="20"/>
          <w:color w:val="auto"/>
        </w:rPr>
        <w:t>The following table contains a summary of the lease costs recognized under ASC 842 and other information pertaining to the Company’s operating lease for the years ended December 31, 2025 and 2024:</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631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Operating lease cost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Variable lease cost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Total lease cost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Other Operating Lease Information</w:t>
      </w:r>
    </w:p>
    <w:p>
      <w:pPr>
        <w:spacing w:after="0" w:line="98" w:lineRule="exact"/>
        <w:rPr>
          <w:sz w:val="20"/>
          <w:szCs w:val="20"/>
          <w:color w:val="auto"/>
        </w:rPr>
      </w:pPr>
    </w:p>
    <w:p>
      <w:pPr>
        <w:ind w:left="20" w:right="1860"/>
        <w:spacing w:after="0" w:line="275" w:lineRule="auto"/>
        <w:rPr>
          <w:sz w:val="20"/>
          <w:szCs w:val="20"/>
          <w:color w:val="auto"/>
        </w:rPr>
      </w:pPr>
      <w:r>
        <w:rPr>
          <w:rFonts w:ascii="Times New Roman" w:cs="Times New Roman" w:eastAsia="Times New Roman" w:hAnsi="Times New Roman"/>
          <w:sz w:val="20"/>
          <w:szCs w:val="20"/>
          <w:color w:val="auto"/>
        </w:rPr>
        <w:t>Cash paid for amounts included in the measurement of lease liability Weighted-average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0"/>
          <w:szCs w:val="20"/>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80"/>
        <w:spacing w:after="0"/>
        <w:rPr>
          <w:sz w:val="20"/>
          <w:szCs w:val="20"/>
          <w:color w:val="auto"/>
        </w:rPr>
      </w:pPr>
      <w:r>
        <w:rPr>
          <w:rFonts w:ascii="Times New Roman" w:cs="Times New Roman" w:eastAsia="Times New Roman" w:hAnsi="Times New Roman"/>
          <w:sz w:val="20"/>
          <w:szCs w:val="20"/>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22860</wp:posOffset>
            </wp:positionV>
            <wp:extent cx="185991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r>
      <w:tr>
        <w:trPr>
          <w:trHeight w:val="487"/>
        </w:trPr>
        <w:tc>
          <w:tcPr>
            <w:tcW w:w="48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4,129</w:t>
            </w:r>
          </w:p>
        </w:tc>
        <w:tc>
          <w:tcPr>
            <w:tcW w:w="20" w:type="dxa"/>
            <w:vAlign w:val="bottom"/>
          </w:tcPr>
          <w:p>
            <w:pPr>
              <w:spacing w:after="0"/>
              <w:rPr>
                <w:sz w:val="24"/>
                <w:szCs w:val="24"/>
                <w:color w:val="auto"/>
              </w:rPr>
            </w:pPr>
          </w:p>
        </w:tc>
        <w:tc>
          <w:tcPr>
            <w:tcW w:w="540" w:type="dxa"/>
            <w:vAlign w:val="bottom"/>
            <w:gridSpan w:val="3"/>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4,217</w:t>
            </w:r>
          </w:p>
        </w:tc>
      </w:tr>
      <w:tr>
        <w:trPr>
          <w:trHeight w:val="257"/>
        </w:trPr>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6"/>
        </w:trPr>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w:t>
            </w:r>
          </w:p>
        </w:tc>
      </w:tr>
      <w:tr>
        <w:trPr>
          <w:trHeight w:val="262"/>
        </w:trPr>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(4,053)</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(3,052)</w:t>
            </w:r>
          </w:p>
        </w:tc>
      </w:tr>
      <w:tr>
        <w:trPr>
          <w:trHeight w:val="254"/>
        </w:trPr>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1,082</w:t>
            </w:r>
          </w:p>
        </w:tc>
        <w:tc>
          <w:tcPr>
            <w:tcW w:w="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2,140</w:t>
            </w:r>
          </w:p>
        </w:tc>
      </w:tr>
      <w:tr>
        <w:trPr>
          <w:trHeight w:val="21"/>
        </w:trPr>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84"/>
        </w:trPr>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1000" w:type="dxa"/>
            <w:vAlign w:val="bottom"/>
            <w:tcBorders>
              <w:bottom w:val="single" w:sz="8" w:color="auto"/>
            </w:tcBorders>
          </w:tcPr>
          <w:p>
            <w:pPr>
              <w:spacing w:after="0"/>
              <w:rPr>
                <w:sz w:val="24"/>
                <w:szCs w:val="24"/>
                <w:color w:val="auto"/>
              </w:rPr>
            </w:pPr>
          </w:p>
        </w:tc>
      </w:tr>
      <w:tr>
        <w:trPr>
          <w:trHeight w:val="304"/>
        </w:trPr>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rPr>
              <w:t>2025</w:t>
            </w: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color w:val="auto"/>
                <w:w w:val="99"/>
              </w:rPr>
              <w:t>2024</w:t>
            </w:r>
          </w:p>
        </w:tc>
      </w:tr>
      <w:tr>
        <w:trPr>
          <w:trHeight w:val="244"/>
        </w:trPr>
        <w:tc>
          <w:tcPr>
            <w:tcW w:w="2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w:t>
            </w:r>
          </w:p>
        </w:tc>
        <w:tc>
          <w:tcPr>
            <w:tcW w:w="200" w:type="dxa"/>
            <w:vAlign w:val="bottom"/>
          </w:tcPr>
          <w:p>
            <w:pPr>
              <w:spacing w:after="0"/>
              <w:rPr>
                <w:sz w:val="21"/>
                <w:szCs w:val="21"/>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4,477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spacing w:after="0"/>
              <w:rPr>
                <w:sz w:val="21"/>
                <w:szCs w:val="21"/>
                <w:color w:val="auto"/>
              </w:rPr>
            </w:pPr>
          </w:p>
        </w:tc>
        <w:tc>
          <w:tcPr>
            <w:tcW w:w="10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4,359</w:t>
            </w:r>
          </w:p>
        </w:tc>
      </w:tr>
      <w:tr>
        <w:trPr>
          <w:trHeight w:val="257"/>
        </w:trPr>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r>
      <w:tr>
        <w:trPr>
          <w:trHeight w:val="258"/>
        </w:trPr>
        <w:tc>
          <w:tcPr>
            <w:tcW w:w="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5.3 %</w:t>
            </w:r>
          </w:p>
        </w:tc>
      </w:tr>
    </w:tbl>
    <w:p>
      <w:pPr>
        <w:spacing w:after="0" w:line="200" w:lineRule="exact"/>
        <w:rPr>
          <w:sz w:val="20"/>
          <w:szCs w:val="20"/>
          <w:color w:val="auto"/>
        </w:rPr>
      </w:pPr>
    </w:p>
    <w:p>
      <w:pPr>
        <w:sectPr>
          <w:pgSz w:w="11900" w:h="16838" w:orient="portrait"/>
          <w:cols w:equalWidth="0" w:num="2">
            <w:col w:w="7320" w:space="720"/>
            <w:col w:w="3200"/>
          </w:cols>
          <w:pgMar w:left="320" w:top="360" w:right="339" w:bottom="1440" w:gutter="0" w:footer="0" w:header="0"/>
          <w:type w:val="continuous"/>
        </w:sectPr>
      </w:pPr>
    </w:p>
    <w:p>
      <w:pPr>
        <w:spacing w:after="0" w:line="95"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The variable lease costs for the year ended December 31, 2025 include common area maintenance and other operating charges. As the Company’s leases do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Future minimum lease payments under the Company’s operating leases as of December 31, 2025 were as follows:</w:t>
            </w:r>
          </w:p>
        </w:tc>
        <w:tc>
          <w:tcPr>
            <w:tcW w:w="1400" w:type="dxa"/>
            <w:vAlign w:val="bottom"/>
          </w:tcPr>
          <w:p>
            <w:pPr>
              <w:spacing w:after="0"/>
              <w:rPr>
                <w:sz w:val="22"/>
                <w:szCs w:val="22"/>
                <w:color w:val="auto"/>
              </w:rPr>
            </w:pPr>
          </w:p>
        </w:tc>
      </w:tr>
      <w:tr>
        <w:trPr>
          <w:trHeight w:val="21"/>
        </w:trPr>
        <w:tc>
          <w:tcPr>
            <w:tcW w:w="8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57"/>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2026</w:t>
            </w:r>
          </w:p>
        </w:tc>
        <w:tc>
          <w:tcPr>
            <w:tcW w:w="880" w:type="dxa"/>
            <w:vAlign w:val="bottom"/>
            <w:shd w:val="clear" w:color="auto" w:fill="CCEEFF"/>
          </w:tcPr>
          <w:p>
            <w:pPr>
              <w:jc w:val="right"/>
              <w:ind w:right="6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4,599</w:t>
            </w:r>
          </w:p>
        </w:tc>
      </w:tr>
      <w:tr>
        <w:trPr>
          <w:trHeight w:val="256"/>
        </w:trPr>
        <w:tc>
          <w:tcPr>
            <w:tcW w:w="8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2027</w:t>
            </w:r>
          </w:p>
        </w:tc>
        <w:tc>
          <w:tcPr>
            <w:tcW w:w="8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4,724</w:t>
            </w:r>
          </w:p>
        </w:tc>
      </w:tr>
      <w:tr>
        <w:trPr>
          <w:trHeight w:val="257"/>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2028</w:t>
            </w:r>
          </w:p>
        </w:tc>
        <w:tc>
          <w:tcPr>
            <w:tcW w:w="8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3,926</w:t>
            </w:r>
          </w:p>
        </w:tc>
      </w:tr>
      <w:tr>
        <w:trPr>
          <w:trHeight w:val="256"/>
        </w:trPr>
        <w:tc>
          <w:tcPr>
            <w:tcW w:w="8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2029</w:t>
            </w:r>
          </w:p>
        </w:tc>
        <w:tc>
          <w:tcPr>
            <w:tcW w:w="88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2,183</w:t>
            </w:r>
          </w:p>
        </w:tc>
      </w:tr>
      <w:tr>
        <w:trPr>
          <w:trHeight w:val="257"/>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2030</w:t>
            </w:r>
          </w:p>
        </w:tc>
        <w:tc>
          <w:tcPr>
            <w:tcW w:w="8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2,249</w:t>
            </w:r>
          </w:p>
        </w:tc>
      </w:tr>
      <w:tr>
        <w:trPr>
          <w:trHeight w:val="256"/>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Thereafter</w:t>
            </w:r>
          </w:p>
        </w:tc>
        <w:tc>
          <w:tcPr>
            <w:tcW w:w="8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3,891</w:t>
            </w:r>
          </w:p>
        </w:tc>
      </w:tr>
      <w:tr>
        <w:trPr>
          <w:trHeight w:val="25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lease payments</w:t>
            </w:r>
          </w:p>
        </w:tc>
        <w:tc>
          <w:tcPr>
            <w:tcW w:w="8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21,572</w:t>
            </w:r>
          </w:p>
        </w:tc>
      </w:tr>
      <w:tr>
        <w:trPr>
          <w:trHeight w:val="257"/>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20"/>
                <w:szCs w:val="20"/>
                <w:color w:val="auto"/>
              </w:rPr>
              <w:t>Less: interest</w:t>
            </w:r>
          </w:p>
        </w:tc>
        <w:tc>
          <w:tcPr>
            <w:tcW w:w="8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(2,791)</w:t>
            </w:r>
          </w:p>
        </w:tc>
      </w:tr>
      <w:tr>
        <w:trPr>
          <w:trHeight w:val="275"/>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Total lease liability</w:t>
            </w:r>
          </w:p>
        </w:tc>
        <w:tc>
          <w:tcPr>
            <w:tcW w:w="880" w:type="dxa"/>
            <w:vAlign w:val="bottom"/>
            <w:tcBorders>
              <w:bottom w:val="single" w:sz="8" w:color="auto"/>
            </w:tcBorders>
            <w:shd w:val="clear" w:color="auto" w:fill="CCEEFF"/>
          </w:tcPr>
          <w:p>
            <w:pPr>
              <w:jc w:val="right"/>
              <w:ind w:right="66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18,781</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Rent expense for the years ended December 31, 2025 and 2024 was $5,279 and $5,275,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COMMITMENTS AND CONTINGENCIES</w:t>
      </w:r>
    </w:p>
    <w:p>
      <w:pPr>
        <w:spacing w:after="0" w:line="22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The Company enters into contracts in the normal course of business with contract research organizations (CROs), contract manufacturing organizations (CMOs) and other third parties for preclinical research studies, clinical trials and testing and manufacturing services. These contracts do not contain minimum purchase commitments and are cancelable upon prior written notice. Payments due upon cancellation consist only of payments for services provided or expenses incurred, including noncancelable obligations of service providers, up to the date of cancellation.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2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The Company is party to license agreements, which include contingent payments. These payments will become payable if and when certain development, regulatory and commercial milestones are achieved. As of December 31, 2025, the satisfaction and timing of the contingent payments is uncertain and not reasonably estimable.</w:t>
      </w: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agreements</w:t>
      </w:r>
    </w:p>
    <w:p>
      <w:pPr>
        <w:spacing w:after="0" w:line="23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that could have a material effect on its financial position, results of operations or cash flows, and it has not accrued any liabilities related to such obligations in its consolidated financial statements as of December 31, 2025 or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233" w:lineRule="exact"/>
        <w:rPr>
          <w:sz w:val="20"/>
          <w:szCs w:val="20"/>
          <w:color w:val="auto"/>
        </w:rPr>
      </w:pPr>
    </w:p>
    <w:p>
      <w:pPr>
        <w:ind w:right="340"/>
        <w:spacing w:after="0" w:line="254" w:lineRule="auto"/>
        <w:rPr>
          <w:sz w:val="20"/>
          <w:szCs w:val="20"/>
          <w:color w:val="auto"/>
        </w:rPr>
      </w:pPr>
      <w:r>
        <w:rPr>
          <w:rFonts w:ascii="Times New Roman" w:cs="Times New Roman" w:eastAsia="Times New Roman" w:hAnsi="Times New Roman"/>
          <w:sz w:val="20"/>
          <w:szCs w:val="20"/>
          <w:color w:val="auto"/>
        </w:rPr>
        <w:t>The Company is not currently party to and is not aware of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BENEFIT PLANS</w:t>
      </w:r>
    </w:p>
    <w:p>
      <w:pPr>
        <w:spacing w:after="0" w:line="23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 has a tax-qualified 401(k) and Profit Sharing defined contribution plan (the 401(k) Plan). Under the 401(k) Plan, the Company provides an employer safe harbor matching contribution equal to 100% of a participant’s eligible contributions of up to 6% of eligible compensation, subject to limits established by the Internal Revenue Code of 1986, as amended, and any regulations promulgated thereunder (the Code). All matching contributions are fully vested when made. During the years ended December 31, 2025 and 2024, the Company contributed $320 and $783, respectively, to the 401(k)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SEGMENT REPORTING</w:t>
      </w:r>
    </w:p>
    <w:p>
      <w:pPr>
        <w:spacing w:after="0" w:line="2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 operates as a single reporting segment, focused on the development of MasterKey therapies that target families of oncogenic mutations in patients with cancer.</w:t>
      </w:r>
    </w:p>
    <w:p>
      <w:pPr>
        <w:spacing w:after="0" w:line="17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Company’s measure of segment profit or loss is net income (loss). The CODM is the chief executive officer (CEO). The CODM manages and allocates resources to the operations of the Company on a total company basis. Managing and allocating resources on a consolidated basis enables the CEO to assess the overall level of resources available and how to best deploy these resources across functions and development projects that are in line with the Company’s strategic goals. Consistent with this decision-making process, the CEO uses consolidated financial information for purposes of evaluating performance, forecasting future period financial results, allocating resources and setting incentive targets. Segment net income (loss) is used to monitor budget versus actual results and in assessing performance of the segment.</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20"/>
          <w:szCs w:val="20"/>
          <w:color w:val="auto"/>
        </w:rPr>
        <w:t>The following table is a reconciliation of the significant expense categories to segment net income (loss) regularly provided to the CODM when managing the Company’s single reporting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60" w:type="dxa"/>
            <w:vAlign w:val="bottom"/>
            <w:gridSpan w:val="4"/>
          </w:tcPr>
          <w:p>
            <w:pPr>
              <w:jc w:val="right"/>
              <w:ind w:right="321"/>
              <w:spacing w:after="0"/>
              <w:rPr>
                <w:sz w:val="20"/>
                <w:szCs w:val="20"/>
                <w:color w:val="auto"/>
              </w:rPr>
            </w:pPr>
            <w:r>
              <w:rPr>
                <w:rFonts w:ascii="Times New Roman" w:cs="Times New Roman" w:eastAsia="Times New Roman" w:hAnsi="Times New Roman"/>
                <w:sz w:val="20"/>
                <w:szCs w:val="20"/>
                <w:color w:val="auto"/>
              </w:rPr>
              <w:t>Year Ended December 31,</w:t>
            </w:r>
          </w:p>
        </w:tc>
      </w:tr>
      <w:tr>
        <w:trPr>
          <w:trHeight w:val="61"/>
        </w:trPr>
        <w:tc>
          <w:tcPr>
            <w:tcW w:w="83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300"/>
        </w:trPr>
        <w:tc>
          <w:tcPr>
            <w:tcW w:w="8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color w:val="auto"/>
              </w:rPr>
              <w:t>2025</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color w:val="auto"/>
              </w:rPr>
              <w:t>2024</w:t>
            </w:r>
          </w:p>
        </w:tc>
      </w:tr>
      <w:tr>
        <w:trPr>
          <w:trHeight w:val="291"/>
        </w:trPr>
        <w:tc>
          <w:tcPr>
            <w:tcW w:w="8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4"/>
          </w:tcPr>
          <w:p>
            <w:pPr>
              <w:jc w:val="right"/>
              <w:ind w:right="801"/>
              <w:spacing w:after="0"/>
              <w:rPr>
                <w:sz w:val="20"/>
                <w:szCs w:val="20"/>
                <w:color w:val="auto"/>
              </w:rPr>
            </w:pPr>
            <w:r>
              <w:rPr>
                <w:rFonts w:ascii="Times New Roman" w:cs="Times New Roman" w:eastAsia="Times New Roman" w:hAnsi="Times New Roman"/>
                <w:sz w:val="20"/>
                <w:szCs w:val="20"/>
                <w:color w:val="auto"/>
              </w:rPr>
              <w:t>(in thousands)</w:t>
            </w:r>
          </w:p>
        </w:tc>
      </w:tr>
      <w:tr>
        <w:trPr>
          <w:trHeight w:val="260"/>
        </w:trPr>
        <w:tc>
          <w:tcPr>
            <w:tcW w:w="8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20"/>
                <w:szCs w:val="20"/>
                <w:color w:val="auto"/>
              </w:rPr>
              <w:t>License revenue</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8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Program expenses: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7"/>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Silevertinib (NSCLC) research and development expenses</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17,469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24,378</w:t>
            </w:r>
          </w:p>
        </w:tc>
      </w:tr>
      <w:tr>
        <w:trPr>
          <w:trHeight w:val="257"/>
        </w:trPr>
        <w:tc>
          <w:tcPr>
            <w:tcW w:w="83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Silevertinib (GBM) research and development expenses</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8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BDTX-4933 research and development expenses</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4,613</w:t>
            </w:r>
          </w:p>
        </w:tc>
      </w:tr>
      <w:tr>
        <w:trPr>
          <w:trHeight w:val="256"/>
        </w:trPr>
        <w:tc>
          <w:tcPr>
            <w:tcW w:w="8320" w:type="dxa"/>
            <w:vAlign w:val="bottom"/>
          </w:tcPr>
          <w:p>
            <w:pPr>
              <w:ind w:left="240"/>
              <w:spacing w:after="0" w:line="257" w:lineRule="exact"/>
              <w:rPr>
                <w:sz w:val="20"/>
                <w:szCs w:val="20"/>
                <w:color w:val="auto"/>
              </w:rPr>
            </w:pPr>
            <w:r>
              <w:rPr>
                <w:rFonts w:ascii="Times New Roman" w:cs="Times New Roman" w:eastAsia="Times New Roman" w:hAnsi="Times New Roman"/>
                <w:sz w:val="20"/>
                <w:szCs w:val="20"/>
                <w:color w:val="auto"/>
              </w:rPr>
              <w:t>Other research programs and development expenses</w:t>
            </w:r>
            <w:r>
              <w:rPr>
                <w:rFonts w:ascii="Times New Roman" w:cs="Times New Roman" w:eastAsia="Times New Roman" w:hAnsi="Times New Roman"/>
                <w:sz w:val="25"/>
                <w:szCs w:val="25"/>
                <w:color w:val="auto"/>
                <w:vertAlign w:val="superscript"/>
              </w:rPr>
              <w:t>1</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w:t>
            </w:r>
          </w:p>
        </w:tc>
      </w:tr>
      <w:tr>
        <w:trPr>
          <w:trHeight w:val="257"/>
        </w:trPr>
        <w:tc>
          <w:tcPr>
            <w:tcW w:w="8320" w:type="dxa"/>
            <w:vAlign w:val="bottom"/>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Non-program expenses</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12,035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14,670</w:t>
            </w:r>
          </w:p>
        </w:tc>
      </w:tr>
      <w:tr>
        <w:trPr>
          <w:trHeight w:val="257"/>
        </w:trPr>
        <w:tc>
          <w:tcPr>
            <w:tcW w:w="83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Personnel-related expenses</w:t>
            </w:r>
          </w:p>
        </w:tc>
        <w:tc>
          <w:tcPr>
            <w:tcW w:w="2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21,978</w:t>
            </w:r>
          </w:p>
        </w:tc>
      </w:tr>
      <w:tr>
        <w:trPr>
          <w:trHeight w:val="257"/>
        </w:trPr>
        <w:tc>
          <w:tcPr>
            <w:tcW w:w="8320" w:type="dxa"/>
            <w:vAlign w:val="bottom"/>
            <w:shd w:val="clear" w:color="auto" w:fill="CCEEFF"/>
          </w:tcPr>
          <w:p>
            <w:pPr>
              <w:ind w:left="140"/>
              <w:spacing w:after="0" w:line="257" w:lineRule="exact"/>
              <w:rPr>
                <w:sz w:val="20"/>
                <w:szCs w:val="20"/>
                <w:color w:val="auto"/>
              </w:rPr>
            </w:pPr>
            <w:r>
              <w:rPr>
                <w:rFonts w:ascii="Times New Roman" w:cs="Times New Roman" w:eastAsia="Times New Roman" w:hAnsi="Times New Roman"/>
                <w:sz w:val="20"/>
                <w:szCs w:val="20"/>
                <w:color w:val="auto"/>
              </w:rPr>
              <w:t>Other segment items</w:t>
            </w:r>
            <w:r>
              <w:rPr>
                <w:rFonts w:ascii="Times New Roman" w:cs="Times New Roman" w:eastAsia="Times New Roman" w:hAnsi="Times New Roman"/>
                <w:sz w:val="25"/>
                <w:szCs w:val="25"/>
                <w:color w:val="auto"/>
                <w:vertAlign w:val="superscript"/>
              </w:rPr>
              <w:t>3</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4,458</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1,522</w:t>
            </w:r>
          </w:p>
        </w:tc>
      </w:tr>
      <w:tr>
        <w:trPr>
          <w:trHeight w:val="250"/>
        </w:trPr>
        <w:tc>
          <w:tcPr>
            <w:tcW w:w="8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Segment net income (loss)</w:t>
            </w: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22,367</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(69,676)</w:t>
            </w: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i w:val="1"/>
          <w:iCs w:val="1"/>
          <w:color w:val="auto"/>
        </w:rPr>
        <w:t>1) Includes cross-program consulting expenses; (2) Includes facilities, information technology, legal, intellectual property, and other general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i w:val="1"/>
          <w:iCs w:val="1"/>
          <w:color w:val="auto"/>
        </w:rPr>
        <w:t>administrative expense; (3) Includes stock-based compensation expense, depreciation, sublease income, investment accretion, interest income, impairment gain/loss, and other (income)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LICENSE REVENUE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March 2025, the Company entered into a license agreement with Servier (the Servier Agreement). Pursuant to the Servier Agreement,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granted to Servier a worldwide license to develop and commercialize BDTX-4933. Under the terms of the Servier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Servier will lead the development activities and the worldwide commercialization of BDTX-4933 across multiple indications, including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NSCLC, with potential applications in other solid tumors. Under the Servier Agreement, the Company received an upfront payment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$70,000 in March 2025 and will be eligible to receive up to $710,000 in development and commercial sales milestone payments, along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tiered royalties based on global net sales. These milestone and royalty payments will become payable to the Company if and when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development and commercial sales milestones are achieved and commercial sales of the licensed product are made.</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Unless earlier terminated, the term of the Servier Agreement continues until expiration of the last royalty term for the applicable product in the applicable country. The Servier Agreement is subject to customary termination provisions, including termination by a party for the other party’s uncured, material breach. The Servier Agreement also includes customary representations and warranties, covenants and indemnification obligations.</w:t>
      </w:r>
    </w:p>
    <w:p>
      <w:pPr>
        <w:spacing w:after="0" w:line="186"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Company assessed the Servier Agreement in accordance with ASC 606 and concluded that the contract counterparty, Servier, is a customer. In accordance with ASC 606, the Company determined that there is one performance obligation in the Servier Agreement, consisting of the license of the functional IP rights to BDTX-4933 granted to Servier. The transaction price was comprised of the fixed consideration of $70,000 and was recognized upon transfer of control of the license at a point in time upon contract execution. The arrangement includes significant variable consideration primarily in the form of development and commercial sales milestone payments and royalty fees.</w:t>
      </w:r>
    </w:p>
    <w:p>
      <w:pPr>
        <w:spacing w:after="0" w:line="1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development milestone fees are fully constrained at the inception of the contract. The estimate of variable consideration and the judgments related to the constraints for the development milestones are reassessed each reporting period under the most likely amount method. As of and for the year ended December 31, 2025, the Company determined the events underlying the milestones were not probable, therefore the variable consideration was fully constrained and no adjustments to the estimates have been made.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The commercial sales milestones and royalty fees are considered variable consideration and will be recognized as revenue as such sales occur. The commercial sales milestones and royalty fees qualify for the sales and usage-based royalty exception because the license of the functional IP rights to BDTX-4933 is the predominant element of the Servier Agreement and therefore does not require an estimate of the future transaction price.</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During the year ended December 31, 2025, the Company recorded $70,000 in license revenue pursuant to the Servier Agreement and none in the year ended December 31, 2024. We anticipate that our net operating losses will cover our annual 2025 tax expense associated with this revenue.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 *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Our management, with the participation of our principal executive officer and principal financial officer, evaluated the effectiveness of our disclosure controls and procedures (as defined in Rule 13a-15(e) of the Exchange Act) as of the end of the period covered by this report. Based on that evaluation, our principal executive officer and principal financial officer have concluded that as of December 31, 2025, our disclosure controls and procedures were effective at a reasonable assurance level. The Company’s disclosure controls and procedures are designed to provide reasonable assurance that information required to be disclosed by us in reports that we file or submit under the Exchange Act (i) is recorded, processed, summarized and reported within the time periods specified in the SEC’s rules and forms; and (ii) accumulated and communicated to management, including our principal executive officer and principal financial officer, as appropriate, to allow timely discussions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3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Our management assessed the effectiveness of our internal control over financial reporting as of December 31, 2025 based on the criteria set forth by the Committee of Sponsoring Organizations of the Treadway Commission in its 2013 Internal Control — Integrated Framework. Based on this assessment, our management has concluded that our internal control over financial reporting was effective as of December 31, 2025.</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This Annual Report does not include an attestation report of our registered public accounting firm regarding our internal control over financial reporting. We are not required to have, nor have we engaged our independent registered public accounting firm to perform, an audit on our internal control over financial reporting pursuant to the rules of the SEC that permit us to provide only management’s report in this Annual Report.</w:t>
      </w:r>
    </w:p>
    <w:p>
      <w:pPr>
        <w:sectPr>
          <w:pgSz w:w="11900" w:h="16838" w:orient="portrait"/>
          <w:cols w:equalWidth="0" w:num="1">
            <w:col w:w="11200"/>
          </w:cols>
          <w:pgMar w:left="320" w:top="360" w:right="37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of the Exchange Act) during the fiscal quarter ended December 31, 2025 that have materially affected, or is reasonably likely to materially affect, our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10b5-1 Plans</w:t>
      </w:r>
    </w:p>
    <w:p>
      <w:pPr>
        <w:spacing w:after="0" w:line="23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From time to time, our officers (as defined in Rule 16a–1(f)) and directors may enter into Rule 10b5-1 or non-Rule 10b5-1 trading arrangements (as each such term is defined in Item 408 of Regulation S-K). During the three months ended December 31, 2025, none of our directors or officers adopted or terminated a Rule 10b5-1 trading arrangement or a non-Rule 10b5-1 trading arrangement (as defined in Item 408(c) of Regulation S-K) during the quarterly period covered by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0"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33"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The information required under this item is incorporated by reference to the information in our Proxy Statement for our 2026 Annual Meeting of Stockholders, which we will file with the SEC within 120 days of the end of the fiscal year to which this Annual Report relates.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The information required under this item (excluding the information under the subheading “Pay Versus Performance”) is incorporated by reference to the information in our Proxy Statement for our 2026 Annual Meeting of Stockholders, which we will file with the SEC within 120 days of the end of the fiscal year to which this Annual Report relates.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2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The information required under this item is incorporated by reference to the information in our Proxy Statement for our 2026 Annual Meeting of Stockholders, which we will file with the SEC within 120 days of the end of the fiscal year to which this Annual Report relates.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3"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9"/>
          <w:szCs w:val="19"/>
          <w:color w:val="auto"/>
        </w:rPr>
        <w:t>The information required under this item is incorporated by reference to the information in our Proxy Statement for our 2026 Annual Meeting of Stockholders, which we will file with the SEC within 120 days of the end of the fiscal year to which this Annual Report relates.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3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information required under this item is incorporated by reference to the information in our Proxy Statement for our 2026 Annual Meeting of Stockholders, which we will file with the SEC within 120 days of the end of the fiscal year to which this Annual Report relates.</w:t>
      </w:r>
    </w:p>
    <w:p>
      <w:pPr>
        <w:spacing w:after="0" w:line="200" w:lineRule="exact"/>
        <w:rPr>
          <w:sz w:val="20"/>
          <w:szCs w:val="20"/>
          <w:color w:val="auto"/>
        </w:rPr>
      </w:pPr>
    </w:p>
    <w:p>
      <w:pPr>
        <w:spacing w:after="0" w:line="3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60" w:right="5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216" w:lineRule="exact"/>
        <w:rPr>
          <w:sz w:val="20"/>
          <w:szCs w:val="20"/>
          <w:color w:val="auto"/>
        </w:rPr>
      </w:pPr>
    </w:p>
    <w:p>
      <w:pPr>
        <w:ind w:left="280" w:hanging="272"/>
        <w:spacing w:after="0"/>
        <w:tabs>
          <w:tab w:leader="none" w:pos="2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i w:val="1"/>
          <w:iCs w:val="1"/>
          <w:color w:val="auto"/>
        </w:rPr>
        <w:t>Financial Statements</w:t>
      </w:r>
    </w:p>
    <w:p>
      <w:pPr>
        <w:spacing w:after="0" w:line="23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For a list of the financial statements included herein, see Index to the Consolidated Financial Statements on page 131 of this Annual Report, incorporated into this Item by reference.</w:t>
      </w:r>
    </w:p>
    <w:p>
      <w:pPr>
        <w:spacing w:after="0" w:line="169" w:lineRule="exact"/>
        <w:rPr>
          <w:sz w:val="20"/>
          <w:szCs w:val="20"/>
          <w:color w:val="auto"/>
        </w:rPr>
      </w:pPr>
    </w:p>
    <w:p>
      <w:pPr>
        <w:ind w:left="200" w:hanging="192"/>
        <w:spacing w:after="0"/>
        <w:tabs>
          <w:tab w:leader="none" w:pos="2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Financial Statement Schedules</w:t>
      </w:r>
    </w:p>
    <w:p>
      <w:pPr>
        <w:spacing w:after="0" w:line="23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Financial statement schedules have been omitted because they are either not required or not applicable or the information is included in the consolidated financial statements or the notes thereto.</w:t>
      </w:r>
    </w:p>
    <w:p>
      <w:pPr>
        <w:spacing w:after="0" w:line="169" w:lineRule="exact"/>
        <w:rPr>
          <w:sz w:val="20"/>
          <w:szCs w:val="20"/>
          <w:color w:val="auto"/>
        </w:rPr>
      </w:pPr>
    </w:p>
    <w:p>
      <w:pPr>
        <w:ind w:left="200" w:hanging="192"/>
        <w:spacing w:after="0"/>
        <w:tabs>
          <w:tab w:leader="none" w:pos="2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Exhibits</w:t>
      </w:r>
    </w:p>
    <w:p>
      <w:pPr>
        <w:spacing w:after="0" w:line="22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exhibits required by Item 601 of Regulation S-K and Item 15(b) of this Annual Report are listed in the Exhibit Index below. The exhibits listed in the Exhibit Index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 Exhibit Index</w:t>
      </w:r>
    </w:p>
    <w:p>
      <w:pPr>
        <w:sectPr>
          <w:pgSz w:w="11900" w:h="16838" w:orient="portrait"/>
          <w:cols w:equalWidth="0" w:num="1">
            <w:col w:w="11220"/>
          </w:cols>
          <w:pgMar w:left="320" w:top="360" w:right="359" w:bottom="1440" w:gutter="0" w:footer="0" w:header="0"/>
        </w:sectPr>
      </w:pPr>
    </w:p>
    <w:p>
      <w:pPr>
        <w:spacing w:after="0" w:line="124" w:lineRule="exact"/>
        <w:rPr>
          <w:sz w:val="20"/>
          <w:szCs w:val="20"/>
          <w:color w:val="auto"/>
        </w:rPr>
      </w:pPr>
    </w:p>
    <w:p>
      <w:pPr>
        <w:ind w:left="20" w:right="20"/>
        <w:spacing w:after="0" w:line="333" w:lineRule="auto"/>
        <w:rPr>
          <w:sz w:val="20"/>
          <w:szCs w:val="20"/>
          <w:color w:val="auto"/>
        </w:rPr>
      </w:pPr>
      <w:r>
        <w:rPr>
          <w:rFonts w:ascii="Times New Roman" w:cs="Times New Roman" w:eastAsia="Times New Roman" w:hAnsi="Times New Roman"/>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6426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10.10#</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10.12#</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10.13#+</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64204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34" w:lineRule="exact"/>
        <w:rPr>
          <w:sz w:val="20"/>
          <w:szCs w:val="20"/>
          <w:color w:val="auto"/>
        </w:rPr>
      </w:pPr>
    </w:p>
    <w:p>
      <w:pPr>
        <w:ind w:right="60"/>
        <w:spacing w:after="0" w:line="266" w:lineRule="auto"/>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Fourth Amended and Restated Certificate of Incorporation of the Registrant, as currently in effect (incorporated by reference to Exhibit 3.1</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of the Registrant’s Current Report on Form 8-K (File No. 001-39200) filed on February 3, 2020)</w:t>
        </w:r>
      </w:hyperlink>
    </w:p>
    <w:p>
      <w:pPr>
        <w:spacing w:after="0" w:line="14"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Certificate of Amendment to the Fourth Amended and Restated Certificate of Incorporation of the Registrant (incorporated by reference to</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Exhibit 3.1 of the Registrant’s Current Report on Form 8-K (File No. 001-39200) filed on June 6, 2024)</w:t>
        </w:r>
      </w:hyperlink>
    </w:p>
    <w:p>
      <w:pPr>
        <w:spacing w:after="0" w:line="14" w:lineRule="exact"/>
        <w:rPr>
          <w:sz w:val="20"/>
          <w:szCs w:val="20"/>
          <w:color w:val="auto"/>
        </w:rPr>
      </w:pPr>
    </w:p>
    <w:p>
      <w:pPr>
        <w:ind w:right="260"/>
        <w:spacing w:after="0" w:line="266" w:lineRule="auto"/>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Second Amended and Restated By-laws of the Registrant (incorporated by reference to Exhibit 3.2 of the Registrant’s Annual Report on</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Form 10-K (File No. 001-39200) filed on March 12, 2024)</w:t>
        </w:r>
      </w:hyperlink>
    </w:p>
    <w:p>
      <w:pPr>
        <w:spacing w:after="0" w:line="14" w:lineRule="exact"/>
        <w:rPr>
          <w:sz w:val="20"/>
          <w:szCs w:val="20"/>
          <w:color w:val="auto"/>
        </w:rPr>
      </w:pPr>
    </w:p>
    <w:p>
      <w:pPr>
        <w:jc w:val="both"/>
        <w:ind w:right="360"/>
        <w:spacing w:after="0" w:line="250" w:lineRule="auto"/>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Second Amended and Restated Investors’ Rights Agreement among the Registrant and certain of its stockholders, dated November 25,</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2019 (incorporated by reference to Exhibit 4.1 of the Registrant’s Registration Statement on Form S-1 (File No. 333-235789) filed on</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January 3, 2020)</w:t>
        </w:r>
      </w:hyperlink>
    </w:p>
    <w:p>
      <w:pPr>
        <w:spacing w:after="0" w:line="28" w:lineRule="exact"/>
        <w:rPr>
          <w:rFonts w:ascii="Times New Roman" w:cs="Times New Roman" w:eastAsia="Times New Roman" w:hAnsi="Times New Roman"/>
          <w:sz w:val="18"/>
          <w:szCs w:val="18"/>
          <w:u w:val="single" w:color="auto"/>
          <w:color w:val="0000FF"/>
        </w:rPr>
      </w:pPr>
    </w:p>
    <w:p>
      <w:pPr>
        <w:ind w:right="60"/>
        <w:spacing w:after="0" w:line="266" w:lineRule="auto"/>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Warrant to Purchase Stock, dated September 21, 2016, issued by the Registrant to Roche Finance Ltd (incorporated by reference to Exhibit</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4.3 of the Registrant’s Registration Statement on Form S-1 (File No. 333-235789) filed on January 3, 2020)</w:t>
        </w:r>
      </w:hyperlink>
    </w:p>
    <w:p>
      <w:pPr>
        <w:spacing w:after="0" w:line="1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Description of Securities (incorporated by reference to Exhibit 4.3 of the Registrant’s Annual Report on Form 10-K (File No. 001-39200)</w:t>
        </w:r>
      </w:hyperlink>
    </w:p>
    <w:p>
      <w:pPr>
        <w:spacing w:after="0" w:line="1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filed on March 12, 2024)</w:t>
        </w:r>
      </w:hyperlink>
    </w:p>
    <w:p>
      <w:pPr>
        <w:spacing w:after="0" w:line="43" w:lineRule="exact"/>
        <w:rPr>
          <w:sz w:val="20"/>
          <w:szCs w:val="20"/>
          <w:color w:val="auto"/>
        </w:rPr>
      </w:pPr>
    </w:p>
    <w:p>
      <w:pPr>
        <w:ind w:right="160"/>
        <w:spacing w:after="0" w:line="250" w:lineRule="auto"/>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2017 Employee, Director and Consultant Equity Incentive Plan, as amended and restated, and forms of award agreements thereunder</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(incorporated by reference to Exhibit 10.1 of the Registrant’s Registration Statement on Form S-1 (File No. 333-235789) filed on January</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3, 2020)</w:t>
        </w:r>
      </w:hyperlink>
    </w:p>
    <w:p>
      <w:pPr>
        <w:spacing w:after="0" w:line="28" w:lineRule="exact"/>
        <w:rPr>
          <w:rFonts w:ascii="Times New Roman" w:cs="Times New Roman" w:eastAsia="Times New Roman" w:hAnsi="Times New Roman"/>
          <w:sz w:val="18"/>
          <w:szCs w:val="18"/>
          <w:u w:val="single" w:color="auto"/>
          <w:color w:val="0000FF"/>
        </w:rPr>
      </w:pPr>
    </w:p>
    <w:p>
      <w:pPr>
        <w:ind w:right="680"/>
        <w:spacing w:after="0" w:line="266" w:lineRule="auto"/>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2020 Stock Option and Incentive Plan and forms of award agreements thereunder (incorporated by reference to Exhibit 10.2 of the</w:t>
        </w:r>
      </w:hyperlink>
      <w:r>
        <w:rPr>
          <w:rFonts w:ascii="Times New Roman" w:cs="Times New Roman" w:eastAsia="Times New Roman" w:hAnsi="Times New Roman"/>
          <w:sz w:val="18"/>
          <w:szCs w:val="18"/>
          <w:u w:val="single" w:color="auto"/>
          <w:color w:val="0000FF"/>
        </w:rPr>
        <w:t xml:space="preserve"> </w:t>
      </w:r>
      <w:hyperlink r:id="rId211">
        <w:r>
          <w:rPr>
            <w:rFonts w:ascii="Times New Roman" w:cs="Times New Roman" w:eastAsia="Times New Roman" w:hAnsi="Times New Roman"/>
            <w:sz w:val="18"/>
            <w:szCs w:val="18"/>
            <w:u w:val="single" w:color="auto"/>
            <w:color w:val="0000FF"/>
          </w:rPr>
          <w:t>Registrant’s Registration Statement on Form S-1/A (File No. 333-235789) filed on January 21, 2020)</w:t>
        </w:r>
      </w:hyperlink>
    </w:p>
    <w:p>
      <w:pPr>
        <w:spacing w:after="0" w:line="14" w:lineRule="exact"/>
        <w:rPr>
          <w:sz w:val="20"/>
          <w:szCs w:val="20"/>
          <w:color w:val="auto"/>
        </w:rPr>
      </w:pPr>
    </w:p>
    <w:p>
      <w:pPr>
        <w:ind w:right="60"/>
        <w:spacing w:after="0" w:line="266" w:lineRule="auto"/>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Senior Executive Cash Incentive Bonus Plan (incorporated by reference to Exhibit 10.3 of the Registrant’s Registration Statement on Form</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S-1 (File No. 333-235789) filed on January 3, 2020)</w:t>
        </w:r>
      </w:hyperlink>
    </w:p>
    <w:p>
      <w:pPr>
        <w:spacing w:after="0" w:line="14" w:lineRule="exact"/>
        <w:rPr>
          <w:sz w:val="20"/>
          <w:szCs w:val="20"/>
          <w:color w:val="auto"/>
        </w:rPr>
      </w:pPr>
    </w:p>
    <w:p>
      <w:pPr>
        <w:spacing w:after="0" w:line="266"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2020 Employee Stock Purchase Plan, as amended (incorporated by reference to Exhibit 10.4 of the Registrant’s Annual Report on Form 10-</w:t>
        </w:r>
      </w:hyperlink>
      <w:hyperlink r:id="rId213">
        <w:r>
          <w:rPr>
            <w:rFonts w:ascii="Times New Roman" w:cs="Times New Roman" w:eastAsia="Times New Roman" w:hAnsi="Times New Roman"/>
            <w:sz w:val="18"/>
            <w:szCs w:val="18"/>
            <w:u w:val="single" w:color="auto"/>
            <w:color w:val="0000FF"/>
          </w:rPr>
          <w:t>K (File No. 001-39200) filed on March 12, 2024</w:t>
        </w:r>
      </w:hyperlink>
    </w:p>
    <w:p>
      <w:pPr>
        <w:spacing w:after="0" w:line="14" w:lineRule="exact"/>
        <w:rPr>
          <w:sz w:val="20"/>
          <w:szCs w:val="20"/>
          <w:color w:val="auto"/>
        </w:rPr>
      </w:pPr>
    </w:p>
    <w:p>
      <w:pPr>
        <w:ind w:right="100"/>
        <w:spacing w:after="0" w:line="266" w:lineRule="auto"/>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Form of Officer Indemnification Agreement (incorporated by reference to Exhibit 10.5 of the Registrant’s Registration Statement on Form</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S-1 (File No. 333-235789) filed on January 3, 2020)</w:t>
        </w:r>
      </w:hyperlink>
    </w:p>
    <w:p>
      <w:pPr>
        <w:spacing w:after="0" w:line="14" w:lineRule="exact"/>
        <w:rPr>
          <w:sz w:val="20"/>
          <w:szCs w:val="20"/>
          <w:color w:val="auto"/>
        </w:rPr>
      </w:pPr>
    </w:p>
    <w:p>
      <w:pPr>
        <w:ind w:right="20"/>
        <w:spacing w:after="0" w:line="266"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Form of Director Indemnification Agreement (incorporated by reference to Exhibit 10.6 of the Registrant’s Registration Statement on Form</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S-1 (File No. 333-235789) filed on January 3, 2020)</w:t>
        </w:r>
      </w:hyperlink>
    </w:p>
    <w:p>
      <w:pPr>
        <w:ind w:right="320"/>
        <w:spacing w:after="0" w:line="237" w:lineRule="auto"/>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Employment Agreement between the Registrant and Brent Hatzis-Schoch (incorporated by reference to Exhibit 10.8 of the Registrant’s</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Registration Statement on Form S-1 (File No. 333-235789) filed on January 3, 2020)</w:t>
        </w:r>
      </w:hyperlink>
    </w:p>
    <w:p>
      <w:pPr>
        <w:spacing w:after="0" w:line="10" w:lineRule="exact"/>
        <w:rPr>
          <w:sz w:val="20"/>
          <w:szCs w:val="20"/>
          <w:color w:val="auto"/>
        </w:rPr>
      </w:pPr>
    </w:p>
    <w:p>
      <w:pPr>
        <w:ind w:right="720"/>
        <w:spacing w:after="0" w:line="237"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Employment Agreement between the Registrant and Elizabeth Buck (incorporated by reference to Exhibit 10.1 of the Registrant’s</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Quarterly Report on Form 10-Q (File No. 001-39200) filed on August 12, 2021)</w:t>
        </w:r>
      </w:hyperlink>
    </w:p>
    <w:p>
      <w:pPr>
        <w:spacing w:after="0" w:line="23" w:lineRule="exact"/>
        <w:rPr>
          <w:sz w:val="20"/>
          <w:szCs w:val="20"/>
          <w:color w:val="auto"/>
        </w:rPr>
      </w:pPr>
    </w:p>
    <w:p>
      <w:pPr>
        <w:ind w:right="680"/>
        <w:spacing w:after="0" w:line="266"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Employment Agreement between the Registrant and Sergey Yurasov (incorporated by reference to Exhibit 10.1 of the Registrant’s</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Quarterly Report on Form 10-Q (File No. 001-39200) filed on August 9, 2022)</w:t>
        </w:r>
      </w:hyperlink>
    </w:p>
    <w:p>
      <w:pPr>
        <w:spacing w:after="0" w:line="14" w:lineRule="exact"/>
        <w:rPr>
          <w:sz w:val="20"/>
          <w:szCs w:val="20"/>
          <w:color w:val="auto"/>
        </w:rPr>
      </w:pPr>
    </w:p>
    <w:p>
      <w:pPr>
        <w:ind w:right="440"/>
        <w:spacing w:after="0" w:line="266" w:lineRule="auto"/>
        <w:rPr>
          <w:rFonts w:ascii="Times New Roman" w:cs="Times New Roman" w:eastAsia="Times New Roman" w:hAnsi="Times New Roman"/>
          <w:sz w:val="18"/>
          <w:szCs w:val="18"/>
          <w:u w:val="single" w:color="auto"/>
          <w:color w:val="0000FF"/>
        </w:rPr>
      </w:pPr>
      <w:hyperlink r:id="rId219">
        <w:r>
          <w:rPr>
            <w:rFonts w:ascii="Times New Roman" w:cs="Times New Roman" w:eastAsia="Times New Roman" w:hAnsi="Times New Roman"/>
            <w:sz w:val="18"/>
            <w:szCs w:val="18"/>
            <w:u w:val="single" w:color="auto"/>
            <w:color w:val="0000FF"/>
          </w:rPr>
          <w:t>Employment Agreement between the Registrant and Melanie Morrison (incorporated by reference to Exhibit 10.11 of the Registrant’s</w:t>
        </w:r>
      </w:hyperlink>
      <w:r>
        <w:rPr>
          <w:rFonts w:ascii="Times New Roman" w:cs="Times New Roman" w:eastAsia="Times New Roman" w:hAnsi="Times New Roman"/>
          <w:sz w:val="18"/>
          <w:szCs w:val="18"/>
          <w:u w:val="single" w:color="auto"/>
          <w:color w:val="0000FF"/>
        </w:rPr>
        <w:t xml:space="preserve"> </w:t>
      </w:r>
      <w:hyperlink r:id="rId219">
        <w:r>
          <w:rPr>
            <w:rFonts w:ascii="Times New Roman" w:cs="Times New Roman" w:eastAsia="Times New Roman" w:hAnsi="Times New Roman"/>
            <w:sz w:val="18"/>
            <w:szCs w:val="18"/>
            <w:u w:val="single" w:color="auto"/>
            <w:color w:val="0000FF"/>
          </w:rPr>
          <w:t>Annual Report on Form 10-K (File No. 001-39200) filed on March 12, 2024)</w:t>
        </w:r>
      </w:hyperlink>
    </w:p>
    <w:p>
      <w:pPr>
        <w:spacing w:after="0" w:line="14" w:lineRule="exact"/>
        <w:rPr>
          <w:sz w:val="20"/>
          <w:szCs w:val="20"/>
          <w:color w:val="auto"/>
        </w:rPr>
      </w:pPr>
    </w:p>
    <w:p>
      <w:pPr>
        <w:ind w:right="200"/>
        <w:spacing w:after="0" w:line="250"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Employment Agreement between the Registrant and Erika Jones, as amended by Amendment No. 1 to the Employment Agreement</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between the Registrant and Erika Jones, dated October 30, 2024 (incorporated by reference to Exhibit 10.12 of the Registrant’s Quarterly</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Report on Form 10-Q (File No. 001-39200) filed on November 5, 2024)</w:t>
        </w:r>
      </w:hyperlink>
    </w:p>
    <w:p>
      <w:pPr>
        <w:spacing w:after="0" w:line="28" w:lineRule="exact"/>
        <w:rPr>
          <w:rFonts w:ascii="Times New Roman" w:cs="Times New Roman" w:eastAsia="Times New Roman" w:hAnsi="Times New Roman"/>
          <w:sz w:val="18"/>
          <w:szCs w:val="18"/>
          <w:u w:val="single" w:color="auto"/>
          <w:color w:val="0000FF"/>
        </w:rPr>
      </w:pPr>
    </w:p>
    <w:p>
      <w:pPr>
        <w:ind w:right="40"/>
        <w:spacing w:after="0" w:line="266" w:lineRule="auto"/>
        <w:rPr>
          <w:rFonts w:ascii="Times New Roman" w:cs="Times New Roman" w:eastAsia="Times New Roman" w:hAnsi="Times New Roman"/>
          <w:sz w:val="18"/>
          <w:szCs w:val="18"/>
          <w:u w:val="single" w:color="auto"/>
          <w:color w:val="0000FF"/>
        </w:rPr>
      </w:pPr>
      <w:hyperlink r:id="rId221">
        <w:r>
          <w:rPr>
            <w:rFonts w:ascii="Times New Roman" w:cs="Times New Roman" w:eastAsia="Times New Roman" w:hAnsi="Times New Roman"/>
            <w:sz w:val="18"/>
            <w:szCs w:val="18"/>
            <w:u w:val="single" w:color="auto"/>
            <w:color w:val="0000FF"/>
          </w:rPr>
          <w:t>Employment Agreement between the Registrant and Mark A. Velleca (incorporated by reference to Exhibit 10.2 of the Registrant’s Current</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Report on Form 8-K (File No. 001-39200) filed on September 18, 2023)</w:t>
        </w:r>
      </w:hyperlink>
    </w:p>
    <w:p>
      <w:pPr>
        <w:spacing w:after="0" w:line="14" w:lineRule="exact"/>
        <w:rPr>
          <w:sz w:val="20"/>
          <w:szCs w:val="20"/>
          <w:color w:val="auto"/>
        </w:rPr>
      </w:pPr>
    </w:p>
    <w:p>
      <w:pPr>
        <w:ind w:right="360"/>
        <w:spacing w:after="0" w:line="266" w:lineRule="auto"/>
        <w:rPr>
          <w:rFonts w:ascii="Times New Roman" w:cs="Times New Roman" w:eastAsia="Times New Roman" w:hAnsi="Times New Roman"/>
          <w:sz w:val="18"/>
          <w:szCs w:val="18"/>
          <w:u w:val="single" w:color="auto"/>
          <w:color w:val="0000FF"/>
        </w:rPr>
      </w:pPr>
      <w:hyperlink r:id="rId222">
        <w:r>
          <w:rPr>
            <w:rFonts w:ascii="Times New Roman" w:cs="Times New Roman" w:eastAsia="Times New Roman" w:hAnsi="Times New Roman"/>
            <w:sz w:val="18"/>
            <w:szCs w:val="18"/>
            <w:u w:val="single" w:color="auto"/>
            <w:color w:val="0000FF"/>
          </w:rPr>
          <w:t>Amended and Restated Non-Employee Director Compensation Plan, effective February 14, 2024 (incorporated by reference to Exhibit</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10.15 of the Registrant’s Annual Report on Form 10-K (File No. 001-39200) filed on March 12, 2024)</w:t>
        </w:r>
      </w:hyperlink>
    </w:p>
    <w:p>
      <w:pPr>
        <w:spacing w:after="0" w:line="14" w:lineRule="exact"/>
        <w:rPr>
          <w:sz w:val="20"/>
          <w:szCs w:val="20"/>
          <w:color w:val="auto"/>
        </w:rPr>
      </w:pPr>
    </w:p>
    <w:p>
      <w:pPr>
        <w:ind w:right="440"/>
        <w:spacing w:after="0" w:line="266"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Lease Agreement, dated as of July 24, 2020, by and between RREEF America REIT II Corp. PPP and the Registrant (incorporated by</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reference to Exhibit 10.1 of the Registrant’s Quarterly Report on Form 10-Q (File No. 001-39200) filed on August 11, 2020)</w:t>
        </w:r>
      </w:hyperlink>
    </w:p>
    <w:p>
      <w:pPr>
        <w:spacing w:after="0" w:line="200" w:lineRule="exact"/>
        <w:rPr>
          <w:sz w:val="20"/>
          <w:szCs w:val="20"/>
          <w:color w:val="auto"/>
        </w:rPr>
      </w:pPr>
    </w:p>
    <w:p>
      <w:pPr>
        <w:sectPr>
          <w:pgSz w:w="11900" w:h="16838" w:orient="portrait"/>
          <w:cols w:equalWidth="0" w:num="2">
            <w:col w:w="620" w:space="520"/>
            <w:col w:w="10080"/>
          </w:cols>
          <w:pgMar w:left="320" w:top="360" w:right="3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40" w:right="600" w:hanging="1119"/>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25">
        <w:r>
          <w:rPr>
            <w:rFonts w:ascii="Times New Roman" w:cs="Times New Roman" w:eastAsia="Times New Roman" w:hAnsi="Times New Roman"/>
            <w:sz w:val="18"/>
            <w:szCs w:val="18"/>
            <w:u w:val="single" w:color="auto"/>
            <w:color w:val="0000FF"/>
          </w:rPr>
          <w:t>License Agreement, dated as of March 18, 2025, by and between Servier Pharmaceuticals LLC and the Registrant (incorporated by</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reference to Exhibit 10.1 of the Registrant’s Quarterly Report on Form 10-Q (File No. 001-39200) filed on May 12, 2025)</w:t>
        </w:r>
      </w:hyperlink>
    </w:p>
    <w:p>
      <w:pPr>
        <w:spacing w:after="0" w:line="10" w:lineRule="exact"/>
        <w:rPr>
          <w:sz w:val="20"/>
          <w:szCs w:val="20"/>
          <w:color w:val="auto"/>
        </w:rPr>
      </w:pPr>
    </w:p>
    <w:p>
      <w:pPr>
        <w:ind w:left="1140" w:right="280" w:hanging="1114"/>
        <w:spacing w:after="0" w:line="237" w:lineRule="auto"/>
        <w:tabs>
          <w:tab w:leader="none" w:pos="1140" w:val="left"/>
        </w:tabs>
        <w:numPr>
          <w:ilvl w:val="0"/>
          <w:numId w:val="75"/>
        </w:numPr>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Black Diamond Therapeutics, Inc. Insider Trading Policy (incorporated by reference to Exhibit 19 of the Registrant’s Annual Report on</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Form 10-K (File No. 001-39200) filed on March 6, 2025)</w:t>
        </w:r>
      </w:hyperlink>
    </w:p>
    <w:tbl>
      <w:tblPr>
        <w:tblLayout w:type="fixed"/>
        <w:tblInd w:w="20" w:type="dxa"/>
        <w:tblCellMar>
          <w:top w:w="0" w:type="dxa"/>
          <w:left w:w="0" w:type="dxa"/>
          <w:bottom w:w="0" w:type="dxa"/>
          <w:right w:w="0" w:type="dxa"/>
        </w:tblCellMar>
      </w:tblPr>
      <w:tr>
        <w:trPr>
          <w:trHeight w:val="204"/>
        </w:trPr>
        <w:tc>
          <w:tcPr>
            <w:tcW w:w="112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21.1</w:t>
            </w:r>
          </w:p>
        </w:tc>
        <w:tc>
          <w:tcPr>
            <w:tcW w:w="10060" w:type="dxa"/>
            <w:vAlign w:val="bottom"/>
            <w:gridSpan w:val="10"/>
          </w:tcPr>
          <w:p>
            <w:pPr>
              <w:spacing w:after="0" w:line="204"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Subsidiaries of the Registrant (incorporated by reference to Exhibit 21.1 of the Registrant’s Annual Report on Form 10-K (File No. 001-</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98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39200) filed on March 12, 2024)</w:t>
              </w:r>
            </w:hyperlink>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 Registered Public Accounting Firm</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49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956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6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49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vMerge w:val="continue"/>
          </w:tcPr>
          <w:p>
            <w:pPr>
              <w:spacing w:after="0"/>
              <w:rPr>
                <w:sz w:val="21"/>
                <w:szCs w:val="21"/>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952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30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vMerge w:val="continue"/>
          </w:tcPr>
          <w:p>
            <w:pPr>
              <w:spacing w:after="0"/>
              <w:rPr>
                <w:sz w:val="21"/>
                <w:szCs w:val="21"/>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97.1</w:t>
            </w:r>
          </w:p>
        </w:tc>
        <w:tc>
          <w:tcPr>
            <w:tcW w:w="5000" w:type="dxa"/>
            <w:vAlign w:val="bottom"/>
            <w:gridSpan w:val="3"/>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vMerge w:val="continue"/>
          </w:tcPr>
          <w:p>
            <w:pPr>
              <w:spacing w:after="0"/>
              <w:rPr>
                <w:sz w:val="20"/>
                <w:szCs w:val="20"/>
                <w:color w:val="auto"/>
              </w:rPr>
            </w:pPr>
          </w:p>
        </w:tc>
        <w:tc>
          <w:tcPr>
            <w:tcW w:w="10060" w:type="dxa"/>
            <w:vAlign w:val="bottom"/>
            <w:gridSpan w:val="10"/>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Black Diamond Therapeutics, Inc. Compensation Recovery Policy (incorporated by reference to Exhibit 97.1 of the Registrant’s Annual</w:t>
              </w:r>
            </w:hyperlink>
          </w:p>
        </w:tc>
        <w:tc>
          <w:tcPr>
            <w:tcW w:w="0" w:type="dxa"/>
            <w:vAlign w:val="bottom"/>
          </w:tcPr>
          <w:p>
            <w:pPr>
              <w:spacing w:after="0"/>
              <w:rPr>
                <w:sz w:val="1"/>
                <w:szCs w:val="1"/>
                <w:color w:val="auto"/>
              </w:rPr>
            </w:pPr>
          </w:p>
        </w:tc>
      </w:tr>
      <w:tr>
        <w:trPr>
          <w:trHeight w:val="183"/>
        </w:trPr>
        <w:tc>
          <w:tcPr>
            <w:tcW w:w="1120" w:type="dxa"/>
            <w:vAlign w:val="bottom"/>
          </w:tcPr>
          <w:p>
            <w:pPr>
              <w:spacing w:after="0"/>
              <w:rPr>
                <w:sz w:val="15"/>
                <w:szCs w:val="15"/>
                <w:color w:val="auto"/>
              </w:rPr>
            </w:pPr>
          </w:p>
        </w:tc>
        <w:tc>
          <w:tcPr>
            <w:tcW w:w="5000" w:type="dxa"/>
            <w:vAlign w:val="bottom"/>
            <w:tcBorders>
              <w:top w:val="single" w:sz="8" w:color="0000FF"/>
              <w:bottom w:val="single" w:sz="8" w:color="0000FF"/>
            </w:tcBorders>
            <w:gridSpan w:val="3"/>
          </w:tcPr>
          <w:p>
            <w:pPr>
              <w:spacing w:after="0" w:line="182" w:lineRule="exact"/>
              <w:rPr>
                <w:rFonts w:ascii="Times New Roman" w:cs="Times New Roman" w:eastAsia="Times New Roman" w:hAnsi="Times New Roman"/>
                <w:sz w:val="18"/>
                <w:szCs w:val="18"/>
                <w:color w:val="0000FF"/>
                <w:w w:val="99"/>
              </w:rPr>
            </w:pPr>
            <w:hyperlink r:id="rId228">
              <w:r>
                <w:rPr>
                  <w:rFonts w:ascii="Times New Roman" w:cs="Times New Roman" w:eastAsia="Times New Roman" w:hAnsi="Times New Roman"/>
                  <w:sz w:val="18"/>
                  <w:szCs w:val="18"/>
                  <w:color w:val="0000FF"/>
                  <w:w w:val="99"/>
                </w:rPr>
                <w:t>Report on Form 10-K (File No. 001-39200) filed on March 12, 2024)</w:t>
              </w:r>
            </w:hyperlink>
          </w:p>
        </w:tc>
        <w:tc>
          <w:tcPr>
            <w:tcW w:w="4820" w:type="dxa"/>
            <w:vAlign w:val="bottom"/>
            <w:tcBorders>
              <w:top w:val="single" w:sz="8" w:color="0000FF"/>
            </w:tcBorders>
            <w:gridSpan w:val="5"/>
          </w:tcPr>
          <w:p>
            <w:pPr>
              <w:spacing w:after="0"/>
              <w:rPr>
                <w:sz w:val="15"/>
                <w:szCs w:val="15"/>
                <w:color w:val="auto"/>
              </w:rPr>
            </w:pPr>
          </w:p>
        </w:tc>
        <w:tc>
          <w:tcPr>
            <w:tcW w:w="2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1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1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1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20" w:hanging="994"/>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36" w:lineRule="exact"/>
        <w:rPr>
          <w:sz w:val="20"/>
          <w:szCs w:val="20"/>
          <w:color w:val="auto"/>
        </w:rPr>
      </w:pPr>
    </w:p>
    <w:p>
      <w:pPr>
        <w:ind w:left="1020" w:right="200" w:hanging="994"/>
        <w:spacing w:after="0" w:line="266"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Non-material schedules and exhibits have been omitted pursuant to Item 601(b)(2) of Regulation S-K. The Company hereby undertakes to furnish supplementally copies of any of the omitted schedules and exhibits upon request by the Securities and Exchange Commission.</w:t>
      </w:r>
    </w:p>
    <w:p>
      <w:pPr>
        <w:spacing w:after="0" w:line="81" w:lineRule="exact"/>
        <w:rPr>
          <w:sz w:val="20"/>
          <w:szCs w:val="20"/>
          <w:color w:val="auto"/>
        </w:rPr>
      </w:pPr>
    </w:p>
    <w:p>
      <w:pPr>
        <w:ind w:left="1020" w:hanging="994"/>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020" w:right="180" w:hanging="994"/>
        <w:spacing w:after="0" w:line="250"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will not be deemed “filed” for purposes of Section 18 of the Exchange Act or otherwise subject to the liability of that section. Such certification will not be deemed to be incorporated by reference into any filing under the Securities Act or the Exchange Act, except to the extent specifically incorporated by reference into such filing.</w:t>
      </w:r>
    </w:p>
    <w:p>
      <w:pPr>
        <w:spacing w:after="0" w:line="28" w:lineRule="exact"/>
        <w:rPr>
          <w:sz w:val="20"/>
          <w:szCs w:val="20"/>
          <w:color w:val="auto"/>
        </w:rPr>
      </w:pPr>
    </w:p>
    <w:p>
      <w:pPr>
        <w:ind w:left="1020" w:hanging="994"/>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were omitted in accordance with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has elected not to include summary information.</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p>
    <w:p>
      <w:pPr>
        <w:spacing w:after="0" w:line="4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b w:val="1"/>
          <w:bCs w:val="1"/>
          <w:color w:val="auto"/>
        </w:rPr>
        <w:t>Black Diamond Therapeutics, Inc.</w:t>
      </w:r>
    </w:p>
    <w:p>
      <w:pPr>
        <w:spacing w:after="0" w:line="382" w:lineRule="exact"/>
        <w:rPr>
          <w:sz w:val="20"/>
          <w:szCs w:val="20"/>
          <w:color w:val="auto"/>
        </w:rPr>
      </w:pPr>
    </w:p>
    <w:p>
      <w:pPr>
        <w:ind w:left="20"/>
        <w:spacing w:after="0"/>
        <w:tabs>
          <w:tab w:leader="none" w:pos="5360" w:val="left"/>
          <w:tab w:leader="none" w:pos="5820" w:val="left"/>
        </w:tabs>
        <w:rPr>
          <w:sz w:val="20"/>
          <w:szCs w:val="20"/>
          <w:color w:val="auto"/>
        </w:rPr>
      </w:pPr>
      <w:r>
        <w:rPr>
          <w:rFonts w:ascii="Times New Roman" w:cs="Times New Roman" w:eastAsia="Times New Roman" w:hAnsi="Times New Roman"/>
          <w:sz w:val="20"/>
          <w:szCs w:val="20"/>
          <w:color w:val="auto"/>
        </w:rPr>
        <w:t>Date: March 16,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9"/>
          <w:szCs w:val="29"/>
          <w:color w:val="auto"/>
          <w:vertAlign w:val="superscript"/>
        </w:rPr>
        <w:t>/s/ Mark A. Velleca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0</wp:posOffset>
            </wp:positionV>
            <wp:extent cx="3437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7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Mark A. Velleca</w:t>
      </w:r>
    </w:p>
    <w:p>
      <w:pPr>
        <w:spacing w:after="0" w:line="3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POWER OF ATTORNEY</w:t>
      </w:r>
    </w:p>
    <w:p>
      <w:pPr>
        <w:spacing w:after="0" w:line="2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KNOW ALL PERSONS BY THESE PRESENTS, that each person whose individual signature appears below hereby authorizes and appoints Mark A. Velleca and Brent Hatzis-Schoch,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Annual Report on Form 10-K has been signed below by the following persons on behalf of the registrant and in the capacities indicated on the 16th day of March, 2026.</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0"/>
          <w:szCs w:val="20"/>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620" w:type="dxa"/>
            <w:vAlign w:val="bottom"/>
            <w:tcBorders>
              <w:top w:val="single" w:sz="8" w:color="auto"/>
              <w:bottom w:val="single" w:sz="8" w:color="auto"/>
            </w:tcBorders>
          </w:tcPr>
          <w:p>
            <w:pPr>
              <w:ind w:left="2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18"/>
        </w:trPr>
        <w:tc>
          <w:tcPr>
            <w:tcW w:w="56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Chairman and Director</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Mark A. Velleca</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
        </w:trPr>
        <w:tc>
          <w:tcPr>
            <w:tcW w:w="5620" w:type="dxa"/>
            <w:vAlign w:val="bottom"/>
            <w:tcBorders>
              <w:bottom w:val="single" w:sz="8" w:color="auto"/>
            </w:tcBorders>
          </w:tcPr>
          <w:p>
            <w:pPr>
              <w:spacing w:after="0"/>
              <w:rPr>
                <w:sz w:val="2"/>
                <w:szCs w:val="2"/>
                <w:color w:val="auto"/>
              </w:rPr>
            </w:pPr>
          </w:p>
        </w:tc>
        <w:tc>
          <w:tcPr>
            <w:tcW w:w="5620" w:type="dxa"/>
            <w:vAlign w:val="bottom"/>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A. Velleca</w:t>
            </w:r>
          </w:p>
        </w:tc>
        <w:tc>
          <w:tcPr>
            <w:tcW w:w="5620" w:type="dxa"/>
            <w:vAlign w:val="bottom"/>
          </w:tcPr>
          <w:p>
            <w:pPr>
              <w:spacing w:after="0"/>
              <w:rPr>
                <w:sz w:val="20"/>
                <w:szCs w:val="20"/>
                <w:color w:val="auto"/>
              </w:rPr>
            </w:pPr>
          </w:p>
        </w:tc>
      </w:tr>
      <w:tr>
        <w:trPr>
          <w:trHeight w:val="252"/>
        </w:trPr>
        <w:tc>
          <w:tcPr>
            <w:tcW w:w="56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Finance</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Erika Jones</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27"/>
        </w:trPr>
        <w:tc>
          <w:tcPr>
            <w:tcW w:w="5620" w:type="dxa"/>
            <w:vAlign w:val="bottom"/>
            <w:tcBorders>
              <w:bottom w:val="single" w:sz="8" w:color="auto"/>
            </w:tcBorders>
          </w:tcPr>
          <w:p>
            <w:pPr>
              <w:spacing w:after="0"/>
              <w:rPr>
                <w:sz w:val="2"/>
                <w:szCs w:val="2"/>
                <w:color w:val="auto"/>
              </w:rPr>
            </w:pPr>
          </w:p>
        </w:tc>
        <w:tc>
          <w:tcPr>
            <w:tcW w:w="5620" w:type="dxa"/>
            <w:vAlign w:val="bottom"/>
          </w:tcPr>
          <w:p>
            <w:pPr>
              <w:spacing w:after="0"/>
              <w:rPr>
                <w:sz w:val="2"/>
                <w:szCs w:val="2"/>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Erika Jones</w:t>
            </w:r>
          </w:p>
        </w:tc>
        <w:tc>
          <w:tcPr>
            <w:tcW w:w="5620" w:type="dxa"/>
            <w:vAlign w:val="bottom"/>
          </w:tcPr>
          <w:p>
            <w:pPr>
              <w:spacing w:after="0"/>
              <w:rPr>
                <w:sz w:val="20"/>
                <w:szCs w:val="20"/>
                <w:color w:val="auto"/>
              </w:rPr>
            </w:pPr>
          </w:p>
        </w:tc>
      </w:tr>
      <w:tr>
        <w:trPr>
          <w:trHeight w:val="256"/>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Ali Behbahani</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 Behbahani</w:t>
            </w:r>
          </w:p>
        </w:tc>
        <w:tc>
          <w:tcPr>
            <w:tcW w:w="5620" w:type="dxa"/>
            <w:vAlign w:val="bottom"/>
          </w:tcPr>
          <w:p>
            <w:pPr>
              <w:spacing w:after="0"/>
              <w:rPr>
                <w:sz w:val="18"/>
                <w:szCs w:val="18"/>
                <w:color w:val="auto"/>
              </w:rPr>
            </w:pPr>
          </w:p>
        </w:tc>
      </w:tr>
      <w:tr>
        <w:trPr>
          <w:trHeight w:val="23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Samarth Kulkarni</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Samarth Kulkarni</w:t>
            </w:r>
          </w:p>
        </w:tc>
        <w:tc>
          <w:tcPr>
            <w:tcW w:w="5620" w:type="dxa"/>
            <w:vAlign w:val="bottom"/>
          </w:tcPr>
          <w:p>
            <w:pPr>
              <w:spacing w:after="0"/>
              <w:rPr>
                <w:sz w:val="18"/>
                <w:szCs w:val="18"/>
                <w:color w:val="auto"/>
              </w:rPr>
            </w:pPr>
          </w:p>
        </w:tc>
      </w:tr>
      <w:tr>
        <w:trPr>
          <w:trHeight w:val="23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Shannon Campbell</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Shannon Campbell</w:t>
            </w:r>
          </w:p>
        </w:tc>
        <w:tc>
          <w:tcPr>
            <w:tcW w:w="5620" w:type="dxa"/>
            <w:vAlign w:val="bottom"/>
          </w:tcPr>
          <w:p>
            <w:pPr>
              <w:spacing w:after="0"/>
              <w:rPr>
                <w:sz w:val="18"/>
                <w:szCs w:val="18"/>
                <w:color w:val="auto"/>
              </w:rPr>
            </w:pPr>
          </w:p>
        </w:tc>
      </w:tr>
      <w:tr>
        <w:trPr>
          <w:trHeight w:val="23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Garry E. Menzel</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Garry E. Menzel</w:t>
            </w:r>
          </w:p>
        </w:tc>
        <w:tc>
          <w:tcPr>
            <w:tcW w:w="5620" w:type="dxa"/>
            <w:vAlign w:val="bottom"/>
          </w:tcPr>
          <w:p>
            <w:pPr>
              <w:spacing w:after="0"/>
              <w:rPr>
                <w:sz w:val="18"/>
                <w:szCs w:val="18"/>
                <w:color w:val="auto"/>
              </w:rPr>
            </w:pPr>
          </w:p>
        </w:tc>
      </w:tr>
      <w:tr>
        <w:trPr>
          <w:trHeight w:val="23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Kapil Dhingra</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Kapil Dhingra</w:t>
            </w:r>
          </w:p>
        </w:tc>
        <w:tc>
          <w:tcPr>
            <w:tcW w:w="5620" w:type="dxa"/>
            <w:vAlign w:val="bottom"/>
          </w:tcPr>
          <w:p>
            <w:pPr>
              <w:spacing w:after="0"/>
              <w:rPr>
                <w:sz w:val="18"/>
                <w:szCs w:val="18"/>
                <w:color w:val="auto"/>
              </w:rPr>
            </w:pPr>
          </w:p>
        </w:tc>
      </w:tr>
      <w:tr>
        <w:trPr>
          <w:trHeight w:val="234"/>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Prakash Raman</w:t>
            </w:r>
          </w:p>
        </w:tc>
        <w:tc>
          <w:tcPr>
            <w:tcW w:w="5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Prakash Raman</w:t>
            </w:r>
          </w:p>
        </w:tc>
        <w:tc>
          <w:tcPr>
            <w:tcW w:w="56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168</w:t>
      </w:r>
    </w:p>
    <w:p>
      <w:pPr>
        <w:sectPr>
          <w:pgSz w:w="11900" w:h="16838" w:orient="portrait"/>
          <w:cols w:equalWidth="0" w:num="1">
            <w:col w:w="11240"/>
          </w:cols>
          <w:pgMar w:left="320" w:top="36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2" w:lineRule="exact"/>
        <w:rPr>
          <w:sz w:val="20"/>
          <w:szCs w:val="20"/>
          <w:color w:val="auto"/>
        </w:rPr>
      </w:pPr>
    </w:p>
    <w:p>
      <w:pPr>
        <w:jc w:val="both"/>
        <w:ind w:right="220"/>
        <w:spacing w:after="0" w:line="247"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S-3 (File No. 333-291518) and Form S-8 (File No. 333-285596, 333-277834, 333-270393, 333-263648, 333-254686 and 333-236170) of Black Diamond Therapeutics, Inc. of our report dated March 16, 2026 relating to the financial statements, which appears in this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PricewaterhouseCoopers LLP</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ectPr>
          <w:pgSz w:w="11900" w:h="16838" w:orient="portrait"/>
          <w:cols w:equalWidth="0" w:num="1">
            <w:col w:w="11240"/>
          </w:cols>
          <w:pgMar w:left="320" w:top="765"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13a-14(a) OR 15d-14(a)</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SARBANES-OXLEY ACT OF 2002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Mark A. Velleca, certify that:</w:t>
      </w:r>
    </w:p>
    <w:p>
      <w:pPr>
        <w:spacing w:after="0" w:line="270"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 have reviewed this Annual Report on Form 10-K for the year ended December 31, 2025 of Black Diamond Therapeutics, Inc.;</w:t>
      </w:r>
    </w:p>
    <w:p>
      <w:pPr>
        <w:spacing w:after="0" w:line="260"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Times New Roman" w:cs="Times New Roman" w:eastAsia="Times New Roman" w:hAnsi="Times New Roman"/>
          <w:sz w:val="22"/>
          <w:szCs w:val="22"/>
          <w:color w:val="auto"/>
        </w:rPr>
      </w:pPr>
    </w:p>
    <w:p>
      <w:pPr>
        <w:ind w:left="660" w:right="20" w:hanging="328"/>
        <w:spacing w:after="0" w:line="248" w:lineRule="auto"/>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Times New Roman" w:cs="Times New Roman" w:eastAsia="Times New Roman" w:hAnsi="Times New Roman"/>
          <w:sz w:val="22"/>
          <w:szCs w:val="22"/>
          <w:color w:val="auto"/>
        </w:rPr>
      </w:pPr>
    </w:p>
    <w:p>
      <w:pPr>
        <w:ind w:left="660" w:right="140" w:hanging="328"/>
        <w:spacing w:after="0" w:line="247" w:lineRule="auto"/>
        <w:tabs>
          <w:tab w:leader="none" w:pos="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4" w:lineRule="exact"/>
        <w:rPr>
          <w:rFonts w:ascii="Times New Roman" w:cs="Times New Roman" w:eastAsia="Times New Roman" w:hAnsi="Times New Roman"/>
          <w:sz w:val="20"/>
          <w:szCs w:val="20"/>
          <w:color w:val="auto"/>
        </w:rPr>
      </w:pPr>
    </w:p>
    <w:p>
      <w:pPr>
        <w:ind w:left="1300" w:right="100" w:hanging="320"/>
        <w:spacing w:after="0" w:line="243" w:lineRule="auto"/>
        <w:tabs>
          <w:tab w:leader="none" w:pos="128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2"/>
          <w:szCs w:val="22"/>
          <w:color w:val="auto"/>
        </w:rPr>
      </w:pPr>
    </w:p>
    <w:p>
      <w:pPr>
        <w:ind w:left="1300" w:right="560" w:hanging="320"/>
        <w:spacing w:after="0" w:line="264" w:lineRule="auto"/>
        <w:tabs>
          <w:tab w:leader="none" w:pos="1300"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9"/>
          <w:szCs w:val="19"/>
          <w:color w:val="auto"/>
        </w:rPr>
      </w:pPr>
    </w:p>
    <w:p>
      <w:pPr>
        <w:ind w:left="1300" w:right="60" w:hanging="320"/>
        <w:spacing w:after="0" w:line="245" w:lineRule="auto"/>
        <w:tabs>
          <w:tab w:leader="none" w:pos="128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2"/>
          <w:szCs w:val="22"/>
          <w:color w:val="auto"/>
        </w:rPr>
      </w:pPr>
    </w:p>
    <w:p>
      <w:pPr>
        <w:ind w:left="1300" w:right="80" w:hanging="320"/>
        <w:spacing w:after="0" w:line="253" w:lineRule="auto"/>
        <w:tabs>
          <w:tab w:leader="none" w:pos="13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172" w:name="page173"/>
    <w:bookmarkEnd w:id="172"/>
    <w:p>
      <w:pPr>
        <w:ind w:left="640" w:hanging="328"/>
        <w:spacing w:after="0" w:line="248" w:lineRule="auto"/>
        <w:tabs>
          <w:tab w:leader="none" w:pos="64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8" w:lineRule="exact"/>
        <w:rPr>
          <w:rFonts w:ascii="Times New Roman" w:cs="Times New Roman" w:eastAsia="Times New Roman" w:hAnsi="Times New Roman"/>
          <w:sz w:val="22"/>
          <w:szCs w:val="22"/>
          <w:color w:val="auto"/>
        </w:rPr>
      </w:pPr>
    </w:p>
    <w:p>
      <w:pPr>
        <w:ind w:left="1280" w:right="80" w:hanging="320"/>
        <w:spacing w:after="0" w:line="246" w:lineRule="auto"/>
        <w:tabs>
          <w:tab w:leader="none" w:pos="1268"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Times New Roman" w:cs="Times New Roman" w:eastAsia="Times New Roman" w:hAnsi="Times New Roman"/>
          <w:sz w:val="22"/>
          <w:szCs w:val="22"/>
          <w:color w:val="auto"/>
        </w:rPr>
      </w:pPr>
    </w:p>
    <w:p>
      <w:pPr>
        <w:ind w:left="1280" w:right="480" w:hanging="320"/>
        <w:spacing w:after="0" w:line="245" w:lineRule="auto"/>
        <w:tabs>
          <w:tab w:leader="none" w:pos="128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6"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20"/>
          <w:szCs w:val="20"/>
          <w:color w:val="auto"/>
        </w:rPr>
        <w:t>Date: March 16, 2026</w:t>
      </w:r>
      <w:r>
        <w:rPr>
          <w:sz w:val="20"/>
          <w:szCs w:val="20"/>
          <w:color w:val="auto"/>
        </w:rPr>
        <w:tab/>
      </w:r>
      <w:r>
        <w:rPr>
          <w:rFonts w:ascii="Times New Roman" w:cs="Times New Roman" w:eastAsia="Times New Roman" w:hAnsi="Times New Roman"/>
          <w:sz w:val="19"/>
          <w:szCs w:val="19"/>
          <w:color w:val="auto"/>
        </w:rPr>
        <w:t>By:  /s/ Mark A. Velleca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3421380</wp:posOffset>
            </wp:positionH>
            <wp:positionV relativeFrom="paragraph">
              <wp:posOffset>22860</wp:posOffset>
            </wp:positionV>
            <wp:extent cx="326580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Mark A. Velleca</w:t>
      </w:r>
    </w:p>
    <w:p>
      <w:pPr>
        <w:spacing w:after="0" w:line="2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President, Chief Executive Officer</w:t>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and Director</w:t>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0"/>
          <w:szCs w:val="20"/>
          <w:color w:val="auto"/>
        </w:rPr>
        <w:t>(Principal Executive Officer)</w:t>
      </w:r>
    </w:p>
    <w:p>
      <w:pPr>
        <w:sectPr>
          <w:pgSz w:w="11900" w:h="16838" w:orient="portrait"/>
          <w:cols w:equalWidth="0" w:num="1">
            <w:col w:w="10960"/>
          </w:cols>
          <w:pgMar w:left="340" w:top="1440" w:right="5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RULE 13a-14(a) OR 15d-14(a)</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SARBANES-OXLEY ACT OF 2002</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Erika Jones, certify that:</w:t>
      </w:r>
    </w:p>
    <w:p>
      <w:pPr>
        <w:spacing w:after="0" w:line="270"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 have reviewed this Annual Report on Form 10-K for the year ended December 31, 2025 of Black Diamond Therapeutics, Inc.;</w:t>
      </w:r>
    </w:p>
    <w:p>
      <w:pPr>
        <w:spacing w:after="0" w:line="260" w:lineRule="exact"/>
        <w:rPr>
          <w:rFonts w:ascii="Times New Roman" w:cs="Times New Roman" w:eastAsia="Times New Roman" w:hAnsi="Times New Roman"/>
          <w:sz w:val="22"/>
          <w:szCs w:val="22"/>
          <w:color w:val="auto"/>
        </w:rPr>
      </w:pPr>
    </w:p>
    <w:p>
      <w:pPr>
        <w:ind w:left="660" w:right="40" w:hanging="328"/>
        <w:spacing w:after="0" w:line="248" w:lineRule="auto"/>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Times New Roman" w:cs="Times New Roman" w:eastAsia="Times New Roman" w:hAnsi="Times New Roman"/>
          <w:sz w:val="22"/>
          <w:szCs w:val="22"/>
          <w:color w:val="auto"/>
        </w:rPr>
      </w:pPr>
    </w:p>
    <w:p>
      <w:pPr>
        <w:ind w:left="660" w:right="20" w:hanging="328"/>
        <w:spacing w:after="0" w:line="248" w:lineRule="auto"/>
        <w:tabs>
          <w:tab w:leader="none" w:pos="66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Times New Roman" w:cs="Times New Roman" w:eastAsia="Times New Roman" w:hAnsi="Times New Roman"/>
          <w:sz w:val="22"/>
          <w:szCs w:val="22"/>
          <w:color w:val="auto"/>
        </w:rPr>
      </w:pPr>
    </w:p>
    <w:p>
      <w:pPr>
        <w:ind w:left="660" w:right="140" w:hanging="328"/>
        <w:spacing w:after="0" w:line="268"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Times New Roman" w:cs="Times New Roman" w:eastAsia="Times New Roman" w:hAnsi="Times New Roman"/>
          <w:sz w:val="20"/>
          <w:szCs w:val="20"/>
          <w:color w:val="auto"/>
        </w:rPr>
      </w:pPr>
    </w:p>
    <w:p>
      <w:pPr>
        <w:ind w:left="1300" w:right="100" w:hanging="320"/>
        <w:spacing w:after="0" w:line="254" w:lineRule="auto"/>
        <w:tabs>
          <w:tab w:leader="none" w:pos="128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300" w:right="560" w:hanging="320"/>
        <w:spacing w:after="0" w:line="261" w:lineRule="auto"/>
        <w:tabs>
          <w:tab w:leader="none" w:pos="1300" w:val="left"/>
        </w:tabs>
        <w:numPr>
          <w:ilvl w:val="1"/>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9"/>
          <w:szCs w:val="19"/>
          <w:color w:val="auto"/>
        </w:rPr>
      </w:pPr>
    </w:p>
    <w:p>
      <w:pPr>
        <w:ind w:left="1300" w:right="60" w:hanging="320"/>
        <w:spacing w:after="0" w:line="246" w:lineRule="auto"/>
        <w:tabs>
          <w:tab w:leader="none" w:pos="128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20"/>
          <w:szCs w:val="20"/>
          <w:color w:val="auto"/>
        </w:rPr>
      </w:pPr>
    </w:p>
    <w:p>
      <w:pPr>
        <w:ind w:left="1300" w:right="80" w:hanging="320"/>
        <w:spacing w:after="0" w:line="256" w:lineRule="auto"/>
        <w:tabs>
          <w:tab w:leader="none" w:pos="130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409" w:right="339" w:bottom="1440" w:gutter="0" w:footer="0" w:header="0"/>
        </w:sectPr>
      </w:pPr>
    </w:p>
    <w:bookmarkStart w:id="174" w:name="page175"/>
    <w:bookmarkEnd w:id="174"/>
    <w:p>
      <w:pPr>
        <w:ind w:left="640" w:hanging="328"/>
        <w:spacing w:after="0" w:line="248" w:lineRule="auto"/>
        <w:tabs>
          <w:tab w:leader="none" w:pos="6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8" w:lineRule="exact"/>
        <w:rPr>
          <w:rFonts w:ascii="Times New Roman" w:cs="Times New Roman" w:eastAsia="Times New Roman" w:hAnsi="Times New Roman"/>
          <w:sz w:val="22"/>
          <w:szCs w:val="22"/>
          <w:color w:val="auto"/>
        </w:rPr>
      </w:pPr>
    </w:p>
    <w:p>
      <w:pPr>
        <w:ind w:left="1280" w:right="80" w:hanging="320"/>
        <w:spacing w:after="0" w:line="246" w:lineRule="auto"/>
        <w:tabs>
          <w:tab w:leader="none" w:pos="1268"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Times New Roman" w:cs="Times New Roman" w:eastAsia="Times New Roman" w:hAnsi="Times New Roman"/>
          <w:sz w:val="22"/>
          <w:szCs w:val="22"/>
          <w:color w:val="auto"/>
        </w:rPr>
      </w:pPr>
    </w:p>
    <w:p>
      <w:pPr>
        <w:ind w:left="1280" w:right="480" w:hanging="320"/>
        <w:spacing w:after="0" w:line="245" w:lineRule="auto"/>
        <w:tabs>
          <w:tab w:leader="none" w:pos="12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5340" w:val="left"/>
          <w:tab w:leader="none" w:pos="5900" w:val="left"/>
        </w:tabs>
        <w:rPr>
          <w:sz w:val="20"/>
          <w:szCs w:val="20"/>
          <w:color w:val="auto"/>
        </w:rPr>
      </w:pPr>
      <w:r>
        <w:rPr>
          <w:rFonts w:ascii="Times New Roman" w:cs="Times New Roman" w:eastAsia="Times New Roman" w:hAnsi="Times New Roman"/>
          <w:sz w:val="39"/>
          <w:szCs w:val="39"/>
          <w:color w:val="auto"/>
          <w:vertAlign w:val="superscript"/>
        </w:rPr>
        <w:t>Date: March 16,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1"/>
          <w:szCs w:val="21"/>
          <w:color w:val="auto"/>
        </w:rPr>
        <w:t>/s/ Erika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-31750</wp:posOffset>
            </wp:positionV>
            <wp:extent cx="31800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ind w:left="5920"/>
        <w:spacing w:after="0"/>
        <w:rPr>
          <w:sz w:val="20"/>
          <w:szCs w:val="20"/>
          <w:color w:val="auto"/>
        </w:rPr>
      </w:pPr>
      <w:r>
        <w:rPr>
          <w:rFonts w:ascii="Times New Roman" w:cs="Times New Roman" w:eastAsia="Times New Roman" w:hAnsi="Times New Roman"/>
          <w:sz w:val="22"/>
          <w:szCs w:val="22"/>
          <w:color w:val="auto"/>
        </w:rPr>
        <w:t>Senior Vice President, Finance</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(Principal Financial Officer and Principal Accounting</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Officer)</w:t>
      </w:r>
    </w:p>
    <w:p>
      <w:pPr>
        <w:sectPr>
          <w:pgSz w:w="11900" w:h="16838" w:orient="portrait"/>
          <w:cols w:equalWidth="0" w:num="1">
            <w:col w:w="10960"/>
          </w:cols>
          <w:pgMar w:left="340" w:top="1440" w:right="5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32.1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SECTION 906 OF THE SARBANES-OXLEY ACT OF 2002</w:t>
      </w:r>
    </w:p>
    <w:p>
      <w:pPr>
        <w:spacing w:after="0" w:line="223" w:lineRule="exact"/>
        <w:rPr>
          <w:sz w:val="20"/>
          <w:szCs w:val="20"/>
          <w:color w:val="auto"/>
        </w:rPr>
      </w:pPr>
    </w:p>
    <w:p>
      <w:pPr>
        <w:ind w:right="180" w:firstLine="324"/>
        <w:spacing w:after="0" w:line="263" w:lineRule="auto"/>
        <w:rPr>
          <w:sz w:val="20"/>
          <w:szCs w:val="20"/>
          <w:color w:val="auto"/>
        </w:rPr>
      </w:pPr>
      <w:r>
        <w:rPr>
          <w:rFonts w:ascii="Times New Roman" w:cs="Times New Roman" w:eastAsia="Times New Roman" w:hAnsi="Times New Roman"/>
          <w:sz w:val="22"/>
          <w:szCs w:val="22"/>
          <w:color w:val="auto"/>
        </w:rPr>
        <w:t xml:space="preserve">Pursuant to 18 U.S.C. Section 1350, as adopted pursuant to Section 906 of the Sarbanes-Oxley Act of 2002, </w:t>
      </w:r>
      <w:r>
        <w:rPr>
          <w:rFonts w:ascii="Times New Roman" w:cs="Times New Roman" w:eastAsia="Times New Roman" w:hAnsi="Times New Roman"/>
          <w:sz w:val="19"/>
          <w:szCs w:val="19"/>
          <w:color w:val="auto"/>
        </w:rPr>
        <w:t>Mark A. Velleca</w:t>
      </w:r>
      <w:r>
        <w:rPr>
          <w:rFonts w:ascii="Times New Roman" w:cs="Times New Roman" w:eastAsia="Times New Roman" w:hAnsi="Times New Roman"/>
          <w:sz w:val="22"/>
          <w:szCs w:val="22"/>
          <w:color w:val="auto"/>
        </w:rPr>
        <w:t>, the Principal Executive Officer, and Erika Jones, the Principal Financial Officer, of Black Diamond Therapeutics, Inc. (the “Company”), hereby certify, that, to their knowledge:</w:t>
      </w:r>
    </w:p>
    <w:p>
      <w:pPr>
        <w:spacing w:after="0" w:line="194" w:lineRule="exact"/>
        <w:rPr>
          <w:sz w:val="20"/>
          <w:szCs w:val="20"/>
          <w:color w:val="auto"/>
        </w:rPr>
      </w:pPr>
    </w:p>
    <w:p>
      <w:pPr>
        <w:ind w:left="660" w:right="300" w:hanging="328"/>
        <w:spacing w:after="0" w:line="271" w:lineRule="auto"/>
        <w:tabs>
          <w:tab w:leader="none" w:pos="65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on Form 10-K for the year ended December 31, 2025 (the “Report”) of the Company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22"/>
          <w:szCs w:val="22"/>
          <w:color w:val="auto"/>
        </w:rPr>
      </w:pPr>
    </w:p>
    <w:p>
      <w:pPr>
        <w:ind w:left="660" w:right="560" w:hanging="328"/>
        <w:spacing w:after="0" w:line="271" w:lineRule="auto"/>
        <w:tabs>
          <w:tab w:leader="none" w:pos="655"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20"/>
        <w:spacing w:after="0"/>
        <w:tabs>
          <w:tab w:leader="none" w:pos="5000" w:val="left"/>
          <w:tab w:leader="none" w:pos="5740" w:val="left"/>
        </w:tabs>
        <w:rPr>
          <w:sz w:val="20"/>
          <w:szCs w:val="20"/>
          <w:color w:val="auto"/>
        </w:rPr>
      </w:pPr>
      <w:r>
        <w:rPr>
          <w:rFonts w:ascii="Times New Roman" w:cs="Times New Roman" w:eastAsia="Times New Roman" w:hAnsi="Times New Roman"/>
          <w:sz w:val="22"/>
          <w:szCs w:val="22"/>
          <w:color w:val="auto"/>
        </w:rPr>
        <w:t>Date: March 16,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 xml:space="preserve">/s/ </w:t>
      </w:r>
      <w:r>
        <w:rPr>
          <w:rFonts w:ascii="Times New Roman" w:cs="Times New Roman" w:eastAsia="Times New Roman" w:hAnsi="Times New Roman"/>
          <w:sz w:val="19"/>
          <w:szCs w:val="19"/>
          <w:color w:val="auto"/>
        </w:rPr>
        <w:t>Mark A. Velleca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19685</wp:posOffset>
            </wp:positionV>
            <wp:extent cx="33686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2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0"/>
          <w:szCs w:val="20"/>
          <w:color w:val="auto"/>
        </w:rPr>
        <w:t>Mark A. Velleca</w:t>
      </w:r>
    </w:p>
    <w:p>
      <w:pPr>
        <w:spacing w:after="0" w:line="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President, Chief Executive Officer</w:t>
      </w:r>
    </w:p>
    <w:p>
      <w:pPr>
        <w:spacing w:after="0" w:line="2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and Director</w:t>
      </w:r>
    </w:p>
    <w:p>
      <w:pPr>
        <w:spacing w:after="0" w:line="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spacing w:after="0"/>
        <w:tabs>
          <w:tab w:leader="none" w:pos="5000" w:val="left"/>
          <w:tab w:leader="none" w:pos="5740" w:val="left"/>
        </w:tabs>
        <w:rPr>
          <w:sz w:val="20"/>
          <w:szCs w:val="20"/>
          <w:color w:val="auto"/>
        </w:rPr>
      </w:pPr>
      <w:r>
        <w:rPr>
          <w:rFonts w:ascii="Times New Roman" w:cs="Times New Roman" w:eastAsia="Times New Roman" w:hAnsi="Times New Roman"/>
          <w:sz w:val="22"/>
          <w:szCs w:val="22"/>
          <w:color w:val="auto"/>
        </w:rPr>
        <w:t>Date: March 16, 2026</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Erika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45085</wp:posOffset>
            </wp:positionV>
            <wp:extent cx="33686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Senior Vice President, Finance</w:t>
      </w:r>
    </w:p>
    <w:p>
      <w:pPr>
        <w:spacing w:after="0" w:line="2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(Principal Financial Officer and Principal Accounting</w:t>
      </w:r>
    </w:p>
    <w:p>
      <w:pPr>
        <w:spacing w:after="0" w:line="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22"/>
          <w:szCs w:val="22"/>
          <w:color w:val="auto"/>
        </w:rPr>
        <w:t>Officer)</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gt;"/>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1)"/>
      <w:numFmt w:val="decimal"/>
      <w:start w:val="10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lowerRoman"/>
      <w:start w:val="1"/>
    </w:lvl>
  </w:abstractNum>
  <w:abstractNum w:abstractNumId="22">
    <w:nsid w:val="374A3FE6"/>
    <w:multiLevelType w:val="hybridMultilevel"/>
    <w:lvl w:ilvl="0">
      <w:lvlJc w:val="left"/>
      <w:lvlText w:val="•"/>
      <w:numFmt w:val="bullet"/>
      <w:start w:val="1"/>
    </w:lvl>
    <w:lvl w:ilvl="1">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1)"/>
      <w:numFmt w:val="lowerRoman"/>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endash "/>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decimal"/>
      <w:start w:val="4"/>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lvl w:ilvl="1">
      <w:lvlJc w:val="left"/>
      <w:lvlText w:val="•"/>
      <w:numFmt w:val="bullet"/>
      <w:start w:val="1"/>
    </w:lvl>
  </w:abstractNum>
  <w:abstractNum w:abstractNumId="69">
    <w:nsid w:val="42963E5A"/>
    <w:multiLevelType w:val="hybridMultilevel"/>
    <w:lvl w:ilvl="0">
      <w:lvlJc w:val="left"/>
      <w:lvlText w:val="9"/>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1)"/>
      <w:numFmt w:val="lowerLetter"/>
      <w:start w:val="1"/>
    </w:lvl>
  </w:abstractNum>
  <w:abstractNum w:abstractNumId="72">
    <w:nsid w:val="1A32234B"/>
    <w:multiLevelType w:val="hybridMultilevel"/>
    <w:lvl w:ilvl="0">
      <w:lvlJc w:val="left"/>
      <w:lvlText w:val="%1."/>
      <w:numFmt w:val="decimal"/>
      <w:start w:val="2"/>
    </w:lvl>
  </w:abstractNum>
  <w:abstractNum w:abstractNumId="73">
    <w:nsid w:val="3B0FD379"/>
    <w:multiLevelType w:val="hybridMultilevel"/>
    <w:lvl w:ilvl="0">
      <w:lvlJc w:val="left"/>
      <w:lvlText w:val="%1."/>
      <w:numFmt w:val="decimal"/>
      <w:start w:val="3"/>
    </w:lvl>
  </w:abstractNum>
  <w:abstractNum w:abstractNumId="74">
    <w:nsid w:val="68EB2F63"/>
    <w:multiLevelType w:val="hybridMultilevel"/>
    <w:lvl w:ilvl="0">
      <w:lvlJc w:val="left"/>
      <w:lvlText w:val="%1"/>
      <w:numFmt w:val="decimal"/>
      <w:start w:val="19"/>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1."/>
      <w:numFmt w:val="decimal"/>
      <w:start w:val="1"/>
    </w:lvl>
    <w:lvl w:ilvl="1">
      <w:lvlJc w:val="left"/>
      <w:lvlText w:val="%2."/>
      <w:numFmt w:val="lowerLetter"/>
      <w:start w:val="1"/>
    </w:lvl>
  </w:abstractNum>
  <w:abstractNum w:abstractNumId="81">
    <w:nsid w:val="71EA1109"/>
    <w:multiLevelType w:val="hybridMultilevel"/>
    <w:lvl w:ilvl="0">
      <w:lvlJc w:val="left"/>
      <w:lvlText w:val="%1."/>
      <w:numFmt w:val="decimal"/>
      <w:start w:val="5"/>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5"/>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24"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04" Type="http://schemas.openxmlformats.org/officeDocument/2006/relationships/hyperlink" Target="https://www.sec.gov/Archives/edgar/data/1701541/000119312520023025/d857498dex31.htm" TargetMode="External"/><Relationship Id="rId205" Type="http://schemas.openxmlformats.org/officeDocument/2006/relationships/hyperlink" Target="https://www.sec.gov/Archives/edgar/data/1701541/000110465924069070/tm2416636d1_ex3-1.htm" TargetMode="External"/><Relationship Id="rId206" Type="http://schemas.openxmlformats.org/officeDocument/2006/relationships/hyperlink" Target="https://www.sec.gov/Archives/edgar/data/1701541/000170154124000011/exhibit32_secondarbylawsgp.htm" TargetMode="External"/><Relationship Id="rId207" Type="http://schemas.openxmlformats.org/officeDocument/2006/relationships/hyperlink" Target="https://www.sec.gov/Archives/edgar/data/1701541/000119312520001336/d758790dex41.htm" TargetMode="External"/><Relationship Id="rId208" Type="http://schemas.openxmlformats.org/officeDocument/2006/relationships/hyperlink" Target="https://www.sec.gov/Archives/edgar/data/1701541/000119312520001336/d758790dex43.htm" TargetMode="External"/><Relationship Id="rId209" Type="http://schemas.openxmlformats.org/officeDocument/2006/relationships/hyperlink" Target="https://www.sec.gov/Archives/edgar/data/1701541/000170154124000011/bdtx-ex43descriptionofsecu.htm" TargetMode="External"/><Relationship Id="rId210" Type="http://schemas.openxmlformats.org/officeDocument/2006/relationships/hyperlink" Target="https://www.sec.gov/Archives/edgar/data/1701541/000119312520001336/d758790dex101.htm" TargetMode="External"/><Relationship Id="rId211" Type="http://schemas.openxmlformats.org/officeDocument/2006/relationships/hyperlink" Target="https://www.sec.gov/Archives/edgar/data/1701541/000119312520010637/d758790dex102.htm" TargetMode="External"/><Relationship Id="rId212" Type="http://schemas.openxmlformats.org/officeDocument/2006/relationships/hyperlink" Target="https://www.sec.gov/Archives/edgar/data/1701541/000119312520001336/d758790dex103.htm" TargetMode="External"/><Relationship Id="rId213" Type="http://schemas.openxmlformats.org/officeDocument/2006/relationships/hyperlink" Target="https://www.sec.gov/Archives/edgar/data/1701541/000170154124000011/exhibit104_bdtx-2020employ.htm" TargetMode="External"/><Relationship Id="rId214" Type="http://schemas.openxmlformats.org/officeDocument/2006/relationships/hyperlink" Target="https://www.sec.gov/Archives/edgar/data/1701541/000119312520001336/d758790dex105.htm" TargetMode="External"/><Relationship Id="rId215" Type="http://schemas.openxmlformats.org/officeDocument/2006/relationships/hyperlink" Target="https://www.sec.gov/Archives/edgar/data/1701541/000119312520001336/d758790dex106.htm" TargetMode="External"/><Relationship Id="rId216" Type="http://schemas.openxmlformats.org/officeDocument/2006/relationships/hyperlink" Target="https://www.sec.gov/Archives/edgar/data/1701541/000119312520001336/d758790dex108.htm" TargetMode="External"/><Relationship Id="rId217" Type="http://schemas.openxmlformats.org/officeDocument/2006/relationships/hyperlink" Target="https://www.sec.gov/Archives/edgar/data/1701541/000170154121000034/exhibit101_q22021.htm" TargetMode="External"/><Relationship Id="rId218" Type="http://schemas.openxmlformats.org/officeDocument/2006/relationships/hyperlink" Target="https://www.sec.gov/Archives/edgar/data/1701541/000170154122000029/blackdiamond-executiveempl.htm" TargetMode="External"/><Relationship Id="rId219" Type="http://schemas.openxmlformats.org/officeDocument/2006/relationships/hyperlink" Target="https://www.sec.gov/Archives/edgar/data/1701541/000170154124000011/exhibit1011_blackdiamond-e.htm" TargetMode="External"/><Relationship Id="rId220" Type="http://schemas.openxmlformats.org/officeDocument/2006/relationships/hyperlink" Target="https://www.sec.gov/Archives/edgar/data/1701541/000170154124000042/employmentagreement-jones.htm" TargetMode="External"/><Relationship Id="rId221" Type="http://schemas.openxmlformats.org/officeDocument/2006/relationships/hyperlink" Target="https://www.sec.gov/Archives/edgar/data/1701541/000110465923101377/tm2326304d1_ex10-2.htm" TargetMode="External"/><Relationship Id="rId222" Type="http://schemas.openxmlformats.org/officeDocument/2006/relationships/hyperlink" Target="https://www.sec.gov/Archives/edgar/data/1701541/000170154124000011/exhibit1015_bdtx-fiftharno.htm" TargetMode="External"/><Relationship Id="rId223" Type="http://schemas.openxmlformats.org/officeDocument/2006/relationships/hyperlink" Target="https://www.sec.gov/Archives/edgar/data/1701541/000170154120000024/exhibit101q22020.htm" TargetMode="External"/><Relationship Id="rId225" Type="http://schemas.openxmlformats.org/officeDocument/2006/relationships/hyperlink" Target="https://www.sec.gov/Archives/edgar/data/1701541/000170154125000022/bdtx-licenseagreement.htm" TargetMode="External"/><Relationship Id="rId226" Type="http://schemas.openxmlformats.org/officeDocument/2006/relationships/hyperlink" Target="https://www.sec.gov/Archives/edgar/data/1701541/000170154125000016/bdtx-thirdarinsidertrading.htm" TargetMode="External"/><Relationship Id="rId227" Type="http://schemas.openxmlformats.org/officeDocument/2006/relationships/hyperlink" Target="https://www.sec.gov/Archives/edgar/data/1701541/000170154124000011/exhibit211_q42023.htm" TargetMode="External"/><Relationship Id="rId228" Type="http://schemas.openxmlformats.org/officeDocument/2006/relationships/hyperlink" Target="https://www.sec.gov/Archives/edgar/data/1701541/000170154124000011/exhibit971_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2026-03-16T15:17:32Z</dcterms:created>
  <dcterms:modified xsi:type="dcterms:W3CDTF">2026-03-16T15:17:32Z</dcterms:modified>
</cp:coreProperties>
</file>