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966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0" w:type="dxa"/>
        <w:tblCellMar>
          <w:top w:w="0" w:type="dxa"/>
          <w:left w:w="0" w:type="dxa"/>
          <w:bottom w:w="0" w:type="dxa"/>
          <w:right w:w="0" w:type="dxa"/>
        </w:tblCellMar>
      </w:tblPr>
      <w:tr>
        <w:trPr>
          <w:trHeight w:val="253"/>
        </w:trPr>
        <w:tc>
          <w:tcPr>
            <w:tcW w:w="20" w:type="dxa"/>
            <w:vAlign w:val="bottom"/>
          </w:tcPr>
          <w:p>
            <w:pPr>
              <w:spacing w:after="0"/>
              <w:rPr>
                <w:sz w:val="21"/>
                <w:szCs w:val="21"/>
                <w:color w:val="auto"/>
              </w:rPr>
            </w:pPr>
          </w:p>
        </w:tc>
        <w:tc>
          <w:tcPr>
            <w:tcW w:w="374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920" w:type="dxa"/>
            <w:vAlign w:val="bottom"/>
            <w:gridSpan w:val="5"/>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420" w:type="dxa"/>
            <w:vAlign w:val="bottom"/>
            <w:gridSpan w:val="9"/>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48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Behbahani Ali</w:t>
              </w:r>
            </w:hyperlink>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60" w:type="dxa"/>
            <w:vAlign w:val="bottom"/>
          </w:tcPr>
          <w:p>
            <w:pPr>
              <w:spacing w:after="0"/>
              <w:rPr>
                <w:sz w:val="9"/>
                <w:szCs w:val="9"/>
                <w:color w:val="auto"/>
              </w:rPr>
            </w:pPr>
          </w:p>
        </w:tc>
        <w:tc>
          <w:tcPr>
            <w:tcW w:w="80" w:type="dxa"/>
            <w:vAlign w:val="bottom"/>
          </w:tcPr>
          <w:p>
            <w:pPr>
              <w:spacing w:after="0"/>
              <w:rPr>
                <w:sz w:val="9"/>
                <w:szCs w:val="9"/>
                <w:color w:val="auto"/>
              </w:rPr>
            </w:pPr>
          </w:p>
        </w:tc>
        <w:tc>
          <w:tcPr>
            <w:tcW w:w="3600" w:type="dxa"/>
            <w:vAlign w:val="bottom"/>
            <w:gridSpan w:val="7"/>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Black Diamond Therapeutics, Inc.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BDTX</w:t>
            </w:r>
          </w:p>
        </w:tc>
        <w:tc>
          <w:tcPr>
            <w:tcW w:w="140" w:type="dxa"/>
            <w:vAlign w:val="bottom"/>
          </w:tcPr>
          <w:p>
            <w:pPr>
              <w:spacing w:after="0"/>
              <w:rPr>
                <w:sz w:val="9"/>
                <w:szCs w:val="9"/>
                <w:color w:val="auto"/>
              </w:rPr>
            </w:pPr>
          </w:p>
        </w:tc>
        <w:tc>
          <w:tcPr>
            <w:tcW w:w="1680" w:type="dxa"/>
            <w:vAlign w:val="bottom"/>
            <w:gridSpan w:val="5"/>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92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80" w:type="dxa"/>
            <w:vAlign w:val="bottom"/>
            <w:gridSpan w:val="3"/>
            <w:vMerge w:val="continue"/>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Borders>
              <w:bottom w:val="single" w:sz="8" w:color="0000EE"/>
            </w:tcBorders>
          </w:tcPr>
          <w:p>
            <w:pPr>
              <w:spacing w:after="0"/>
              <w:rPr>
                <w:sz w:val="6"/>
                <w:szCs w:val="6"/>
                <w:color w:val="auto"/>
              </w:rPr>
            </w:pPr>
          </w:p>
        </w:tc>
        <w:tc>
          <w:tcPr>
            <w:tcW w:w="420" w:type="dxa"/>
            <w:vAlign w:val="bottom"/>
            <w:tcBorders>
              <w:bottom w:val="single" w:sz="8" w:color="0000EE"/>
            </w:tcBorders>
          </w:tcPr>
          <w:p>
            <w:pPr>
              <w:spacing w:after="0"/>
              <w:rPr>
                <w:sz w:val="6"/>
                <w:szCs w:val="6"/>
                <w:color w:val="auto"/>
              </w:rPr>
            </w:pPr>
          </w:p>
        </w:tc>
        <w:tc>
          <w:tcPr>
            <w:tcW w:w="720" w:type="dxa"/>
            <w:vAlign w:val="bottom"/>
            <w:tcBorders>
              <w:bottom w:val="single" w:sz="8" w:color="0000EE"/>
            </w:tcBorders>
          </w:tcPr>
          <w:p>
            <w:pPr>
              <w:spacing w:after="0"/>
              <w:rPr>
                <w:sz w:val="6"/>
                <w:szCs w:val="6"/>
                <w:color w:val="auto"/>
              </w:rPr>
            </w:pPr>
          </w:p>
        </w:tc>
        <w:tc>
          <w:tcPr>
            <w:tcW w:w="780" w:type="dxa"/>
            <w:vAlign w:val="bottom"/>
            <w:tcBorders>
              <w:bottom w:val="single" w:sz="8" w:color="0000EE"/>
            </w:tcBorders>
          </w:tcPr>
          <w:p>
            <w:pPr>
              <w:spacing w:after="0"/>
              <w:rPr>
                <w:sz w:val="6"/>
                <w:szCs w:val="6"/>
                <w:color w:val="auto"/>
              </w:rPr>
            </w:pPr>
          </w:p>
        </w:tc>
        <w:tc>
          <w:tcPr>
            <w:tcW w:w="680" w:type="dxa"/>
            <w:vAlign w:val="bottom"/>
            <w:tcBorders>
              <w:bottom w:val="single" w:sz="8" w:color="0000EE"/>
            </w:tcBorders>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680" w:type="dxa"/>
            <w:vAlign w:val="bottom"/>
            <w:gridSpan w:val="5"/>
            <w:vMerge w:val="continue"/>
          </w:tcPr>
          <w:p>
            <w:pPr>
              <w:spacing w:after="0"/>
              <w:rPr>
                <w:sz w:val="6"/>
                <w:szCs w:val="6"/>
                <w:color w:val="auto"/>
              </w:rPr>
            </w:pP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480" w:type="dxa"/>
            <w:vAlign w:val="bottom"/>
            <w:gridSpan w:val="3"/>
            <w:vMerge w:val="continue"/>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480" w:type="dxa"/>
            <w:vAlign w:val="bottom"/>
            <w:gridSpan w:val="4"/>
            <w:vMerge w:val="restart"/>
          </w:tcPr>
          <w:p>
            <w:pPr>
              <w:ind w:left="160"/>
              <w:spacing w:after="0"/>
              <w:rPr>
                <w:sz w:val="20"/>
                <w:szCs w:val="20"/>
                <w:color w:val="auto"/>
              </w:rPr>
            </w:pPr>
            <w:r>
              <w:rPr>
                <w:rFonts w:ascii="Times New Roman" w:cs="Times New Roman" w:eastAsia="Times New Roman" w:hAnsi="Times New Roman"/>
                <w:sz w:val="21"/>
                <w:szCs w:val="21"/>
                <w:color w:val="auto"/>
              </w:rPr>
              <w:t>]</w:t>
            </w: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Director</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620" w:type="dxa"/>
            <w:vAlign w:val="bottom"/>
            <w:tcBorders>
              <w:top w:val="single" w:sz="8" w:color="0000EE"/>
            </w:tcBorders>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48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continue"/>
          </w:tcPr>
          <w:p>
            <w:pPr>
              <w:spacing w:after="0"/>
              <w:rPr>
                <w:sz w:val="6"/>
                <w:szCs w:val="6"/>
                <w:color w:val="auto"/>
              </w:rPr>
            </w:pPr>
          </w:p>
        </w:tc>
        <w:tc>
          <w:tcPr>
            <w:tcW w:w="1740" w:type="dxa"/>
            <w:vAlign w:val="bottom"/>
            <w:gridSpan w:val="4"/>
            <w:vMerge w:val="continue"/>
          </w:tcPr>
          <w:p>
            <w:pPr>
              <w:spacing w:after="0"/>
              <w:rPr>
                <w:sz w:val="6"/>
                <w:szCs w:val="6"/>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620" w:type="dxa"/>
            <w:vAlign w:val="bottom"/>
            <w:tcBorders>
              <w:bottom w:val="single" w:sz="8" w:color="9A9A9A"/>
            </w:tcBorders>
          </w:tcPr>
          <w:p>
            <w:pPr>
              <w:spacing w:after="0"/>
              <w:rPr>
                <w:sz w:val="8"/>
                <w:szCs w:val="8"/>
                <w:color w:val="auto"/>
              </w:rPr>
            </w:pPr>
          </w:p>
        </w:tc>
        <w:tc>
          <w:tcPr>
            <w:tcW w:w="240" w:type="dxa"/>
            <w:vAlign w:val="bottom"/>
            <w:tcBorders>
              <w:bottom w:val="single" w:sz="8" w:color="9A9A9A"/>
            </w:tcBorders>
          </w:tcPr>
          <w:p>
            <w:pPr>
              <w:spacing w:after="0"/>
              <w:rPr>
                <w:sz w:val="8"/>
                <w:szCs w:val="8"/>
                <w:color w:val="auto"/>
              </w:rPr>
            </w:pPr>
          </w:p>
        </w:tc>
        <w:tc>
          <w:tcPr>
            <w:tcW w:w="820" w:type="dxa"/>
            <w:vAlign w:val="bottom"/>
            <w:tcBorders>
              <w:bottom w:val="single" w:sz="8" w:color="9A9A9A"/>
            </w:tcBorders>
          </w:tcPr>
          <w:p>
            <w:pPr>
              <w:spacing w:after="0"/>
              <w:rPr>
                <w:sz w:val="8"/>
                <w:szCs w:val="8"/>
                <w:color w:val="auto"/>
              </w:rPr>
            </w:pPr>
          </w:p>
        </w:tc>
        <w:tc>
          <w:tcPr>
            <w:tcW w:w="1340" w:type="dxa"/>
            <w:vAlign w:val="bottom"/>
            <w:tcBorders>
              <w:bottom w:val="single" w:sz="8" w:color="9A9A9A"/>
            </w:tcBorders>
          </w:tcPr>
          <w:p>
            <w:pPr>
              <w:spacing w:after="0"/>
              <w:rPr>
                <w:sz w:val="8"/>
                <w:szCs w:val="8"/>
                <w:color w:val="auto"/>
              </w:rPr>
            </w:pPr>
          </w:p>
        </w:tc>
        <w:tc>
          <w:tcPr>
            <w:tcW w:w="480" w:type="dxa"/>
            <w:vAlign w:val="bottom"/>
            <w:gridSpan w:val="4"/>
            <w:vMerge w:val="continue"/>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80" w:type="dxa"/>
            <w:vAlign w:val="bottom"/>
          </w:tcPr>
          <w:p>
            <w:pPr>
              <w:spacing w:after="0"/>
              <w:rPr>
                <w:sz w:val="8"/>
                <w:szCs w:val="8"/>
                <w:color w:val="auto"/>
              </w:rPr>
            </w:pP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Officer (give title</w:t>
            </w:r>
          </w:p>
        </w:tc>
        <w:tc>
          <w:tcPr>
            <w:tcW w:w="1740" w:type="dxa"/>
            <w:vAlign w:val="bottom"/>
            <w:gridSpan w:val="4"/>
            <w:vMerge w:val="restart"/>
          </w:tcPr>
          <w:p>
            <w:pPr>
              <w:ind w:left="4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32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680" w:type="dxa"/>
            <w:vAlign w:val="bottom"/>
          </w:tcPr>
          <w:p>
            <w:pPr>
              <w:spacing w:after="0"/>
              <w:rPr>
                <w:sz w:val="7"/>
                <w:szCs w:val="7"/>
                <w:color w:val="auto"/>
              </w:rPr>
            </w:pPr>
          </w:p>
        </w:tc>
        <w:tc>
          <w:tcPr>
            <w:tcW w:w="4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20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174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(First)</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(Middle)</w:t>
            </w: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3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48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below)</w:t>
            </w:r>
          </w:p>
        </w:tc>
        <w:tc>
          <w:tcPr>
            <w:tcW w:w="920" w:type="dxa"/>
            <w:vAlign w:val="bottom"/>
            <w:vMerge w:val="restart"/>
          </w:tcPr>
          <w:p>
            <w:pPr>
              <w:ind w:left="480"/>
              <w:spacing w:after="0"/>
              <w:rPr>
                <w:sz w:val="20"/>
                <w:szCs w:val="20"/>
                <w:color w:val="auto"/>
              </w:rPr>
            </w:pPr>
            <w:r>
              <w:rPr>
                <w:rFonts w:ascii="Arial" w:cs="Arial" w:eastAsia="Arial" w:hAnsi="Arial"/>
                <w:sz w:val="13"/>
                <w:szCs w:val="13"/>
                <w:color w:val="auto"/>
              </w:rPr>
              <w:t>below)</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1680" w:type="dxa"/>
            <w:vAlign w:val="bottom"/>
            <w:gridSpan w:val="3"/>
            <w:vMerge w:val="continue"/>
          </w:tcPr>
          <w:p>
            <w:pPr>
              <w:spacing w:after="0"/>
              <w:rPr>
                <w:sz w:val="8"/>
                <w:szCs w:val="8"/>
                <w:color w:val="auto"/>
              </w:rPr>
            </w:pPr>
          </w:p>
        </w:tc>
        <w:tc>
          <w:tcPr>
            <w:tcW w:w="13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2920" w:type="dxa"/>
            <w:vAlign w:val="bottom"/>
            <w:gridSpan w:val="5"/>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4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continue"/>
          </w:tcPr>
          <w:p>
            <w:pPr>
              <w:spacing w:after="0"/>
              <w:rPr>
                <w:sz w:val="8"/>
                <w:szCs w:val="8"/>
                <w:color w:val="auto"/>
              </w:rPr>
            </w:pPr>
          </w:p>
        </w:tc>
        <w:tc>
          <w:tcPr>
            <w:tcW w:w="920" w:type="dxa"/>
            <w:vAlign w:val="bottom"/>
            <w:vMerge w:val="continue"/>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3"/>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134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80" w:type="dxa"/>
            <w:vAlign w:val="bottom"/>
          </w:tcPr>
          <w:p>
            <w:pPr>
              <w:spacing w:after="0"/>
              <w:rPr>
                <w:sz w:val="4"/>
                <w:szCs w:val="4"/>
                <w:color w:val="auto"/>
              </w:rPr>
            </w:pPr>
          </w:p>
        </w:tc>
        <w:tc>
          <w:tcPr>
            <w:tcW w:w="2920" w:type="dxa"/>
            <w:vAlign w:val="bottom"/>
            <w:gridSpan w:val="5"/>
            <w:vMerge w:val="continue"/>
          </w:tcPr>
          <w:p>
            <w:pPr>
              <w:spacing w:after="0"/>
              <w:rPr>
                <w:sz w:val="4"/>
                <w:szCs w:val="4"/>
                <w:color w:val="auto"/>
              </w:rPr>
            </w:pPr>
          </w:p>
        </w:tc>
        <w:tc>
          <w:tcPr>
            <w:tcW w:w="480" w:type="dxa"/>
            <w:vAlign w:val="bottom"/>
          </w:tcPr>
          <w:p>
            <w:pPr>
              <w:spacing w:after="0"/>
              <w:rPr>
                <w:sz w:val="4"/>
                <w:szCs w:val="4"/>
                <w:color w:val="auto"/>
              </w:rPr>
            </w:pPr>
          </w:p>
        </w:tc>
        <w:tc>
          <w:tcPr>
            <w:tcW w:w="200" w:type="dxa"/>
            <w:vAlign w:val="bottom"/>
          </w:tcPr>
          <w:p>
            <w:pPr>
              <w:spacing w:after="0"/>
              <w:rPr>
                <w:sz w:val="4"/>
                <w:szCs w:val="4"/>
                <w:color w:val="auto"/>
              </w:rPr>
            </w:pPr>
          </w:p>
        </w:tc>
        <w:tc>
          <w:tcPr>
            <w:tcW w:w="140" w:type="dxa"/>
            <w:vAlign w:val="bottom"/>
          </w:tcPr>
          <w:p>
            <w:pPr>
              <w:spacing w:after="0"/>
              <w:rPr>
                <w:sz w:val="4"/>
                <w:szCs w:val="4"/>
                <w:color w:val="auto"/>
              </w:rPr>
            </w:pPr>
          </w:p>
        </w:tc>
        <w:tc>
          <w:tcPr>
            <w:tcW w:w="200" w:type="dxa"/>
            <w:vAlign w:val="bottom"/>
          </w:tcPr>
          <w:p>
            <w:pPr>
              <w:spacing w:after="0"/>
              <w:rPr>
                <w:sz w:val="4"/>
                <w:szCs w:val="4"/>
                <w:color w:val="auto"/>
              </w:rPr>
            </w:pP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440" w:type="dxa"/>
            <w:vAlign w:val="bottom"/>
          </w:tcPr>
          <w:p>
            <w:pPr>
              <w:spacing w:after="0"/>
              <w:rPr>
                <w:sz w:val="4"/>
                <w:szCs w:val="4"/>
                <w:color w:val="auto"/>
              </w:rPr>
            </w:pPr>
          </w:p>
        </w:tc>
        <w:tc>
          <w:tcPr>
            <w:tcW w:w="760" w:type="dxa"/>
            <w:vAlign w:val="bottom"/>
          </w:tcPr>
          <w:p>
            <w:pPr>
              <w:spacing w:after="0"/>
              <w:rPr>
                <w:sz w:val="4"/>
                <w:szCs w:val="4"/>
                <w:color w:val="auto"/>
              </w:rPr>
            </w:pPr>
          </w:p>
        </w:tc>
        <w:tc>
          <w:tcPr>
            <w:tcW w:w="92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2920" w:type="dxa"/>
            <w:vAlign w:val="bottom"/>
            <w:gridSpan w:val="5"/>
            <w:vMerge w:val="continue"/>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40"/>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3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2855 SAND HILL RD</w:t>
            </w:r>
          </w:p>
        </w:tc>
        <w:tc>
          <w:tcPr>
            <w:tcW w:w="1340" w:type="dxa"/>
            <w:vAlign w:val="bottom"/>
          </w:tcPr>
          <w:p>
            <w:pPr>
              <w:spacing w:after="0"/>
              <w:rPr>
                <w:sz w:val="20"/>
                <w:szCs w:val="20"/>
                <w:color w:val="auto"/>
              </w:rPr>
            </w:pPr>
          </w:p>
        </w:tc>
        <w:tc>
          <w:tcPr>
            <w:tcW w:w="1620" w:type="dxa"/>
            <w:vAlign w:val="bottom"/>
            <w:gridSpan w:val="6"/>
          </w:tcPr>
          <w:p>
            <w:pPr>
              <w:ind w:left="160"/>
              <w:spacing w:after="0"/>
              <w:rPr>
                <w:sz w:val="20"/>
                <w:szCs w:val="20"/>
                <w:color w:val="auto"/>
              </w:rPr>
            </w:pPr>
            <w:r>
              <w:rPr>
                <w:rFonts w:ascii="Times New Roman" w:cs="Times New Roman" w:eastAsia="Times New Roman" w:hAnsi="Times New Roman"/>
                <w:sz w:val="17"/>
                <w:szCs w:val="17"/>
                <w:color w:val="0000FF"/>
              </w:rPr>
              <w:t>06/19/2026</w:t>
            </w: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01"/>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3400" w:type="dxa"/>
            <w:vAlign w:val="bottom"/>
            <w:tcBorders>
              <w:bottom w:val="single" w:sz="8" w:color="2C2C2C"/>
            </w:tcBorders>
            <w:gridSpan w:val="6"/>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6"/>
          </w:tcPr>
          <w:p>
            <w:pPr>
              <w:spacing w:after="0"/>
              <w:rPr>
                <w:sz w:val="8"/>
                <w:szCs w:val="8"/>
                <w:color w:val="auto"/>
              </w:rPr>
            </w:pPr>
          </w:p>
        </w:tc>
        <w:tc>
          <w:tcPr>
            <w:tcW w:w="120" w:type="dxa"/>
            <w:vAlign w:val="bottom"/>
            <w:gridSpan w:val="2"/>
          </w:tcPr>
          <w:p>
            <w:pPr>
              <w:spacing w:after="0"/>
              <w:rPr>
                <w:sz w:val="8"/>
                <w:szCs w:val="8"/>
                <w:color w:val="auto"/>
              </w:rPr>
            </w:pPr>
          </w:p>
        </w:tc>
        <w:tc>
          <w:tcPr>
            <w:tcW w:w="0" w:type="dxa"/>
            <w:vAlign w:val="bottom"/>
          </w:tcPr>
          <w:p>
            <w:pPr>
              <w:spacing w:after="0"/>
              <w:rPr>
                <w:sz w:val="1"/>
                <w:szCs w:val="1"/>
                <w:color w:val="auto"/>
              </w:rPr>
            </w:pPr>
          </w:p>
        </w:tc>
      </w:tr>
      <w:tr>
        <w:trPr>
          <w:trHeight w:val="87"/>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820" w:type="dxa"/>
            <w:vAlign w:val="bottom"/>
            <w:tcBorders>
              <w:bottom w:val="single" w:sz="8" w:color="9A9A9A"/>
            </w:tcBorders>
          </w:tcPr>
          <w:p>
            <w:pPr>
              <w:spacing w:after="0"/>
              <w:rPr>
                <w:sz w:val="7"/>
                <w:szCs w:val="7"/>
                <w:color w:val="auto"/>
              </w:rPr>
            </w:pPr>
          </w:p>
        </w:tc>
        <w:tc>
          <w:tcPr>
            <w:tcW w:w="1340" w:type="dxa"/>
            <w:vAlign w:val="bottom"/>
            <w:tcBorders>
              <w:bottom w:val="single" w:sz="8" w:color="9A9A9A"/>
            </w:tcBorders>
          </w:tcPr>
          <w:p>
            <w:pPr>
              <w:spacing w:after="0"/>
              <w:rPr>
                <w:sz w:val="7"/>
                <w:szCs w:val="7"/>
                <w:color w:val="auto"/>
              </w:rPr>
            </w:pPr>
          </w:p>
        </w:tc>
        <w:tc>
          <w:tcPr>
            <w:tcW w:w="20" w:type="dxa"/>
            <w:vAlign w:val="bottom"/>
            <w:vMerge w:val="restart"/>
          </w:tcPr>
          <w:p>
            <w:pPr>
              <w:spacing w:after="0"/>
              <w:rPr>
                <w:sz w:val="7"/>
                <w:szCs w:val="7"/>
                <w:color w:val="auto"/>
              </w:rPr>
            </w:pPr>
          </w:p>
        </w:tc>
        <w:tc>
          <w:tcPr>
            <w:tcW w:w="60" w:type="dxa"/>
            <w:vAlign w:val="bottom"/>
            <w:vMerge w:val="restart"/>
          </w:tcPr>
          <w:p>
            <w:pPr>
              <w:spacing w:after="0"/>
              <w:rPr>
                <w:sz w:val="7"/>
                <w:szCs w:val="7"/>
                <w:color w:val="auto"/>
              </w:rPr>
            </w:pPr>
          </w:p>
        </w:tc>
        <w:tc>
          <w:tcPr>
            <w:tcW w:w="80" w:type="dxa"/>
            <w:vAlign w:val="bottom"/>
            <w:vMerge w:val="restart"/>
          </w:tcPr>
          <w:p>
            <w:pPr>
              <w:spacing w:after="0"/>
              <w:rPr>
                <w:sz w:val="7"/>
                <w:szCs w:val="7"/>
                <w:color w:val="auto"/>
              </w:rPr>
            </w:pPr>
          </w:p>
        </w:tc>
        <w:tc>
          <w:tcPr>
            <w:tcW w:w="3400" w:type="dxa"/>
            <w:vAlign w:val="bottom"/>
            <w:gridSpan w:val="6"/>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20" w:type="dxa"/>
            <w:vAlign w:val="bottom"/>
            <w:gridSpan w:val="9"/>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2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vMerge w:val="continue"/>
          </w:tcPr>
          <w:p>
            <w:pPr>
              <w:spacing w:after="0"/>
              <w:rPr>
                <w:sz w:val="7"/>
                <w:szCs w:val="7"/>
                <w:color w:val="auto"/>
              </w:rPr>
            </w:pPr>
          </w:p>
        </w:tc>
        <w:tc>
          <w:tcPr>
            <w:tcW w:w="6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400" w:type="dxa"/>
            <w:vAlign w:val="bottom"/>
            <w:gridSpan w:val="6"/>
            <w:vMerge w:val="continue"/>
          </w:tcPr>
          <w:p>
            <w:pPr>
              <w:spacing w:after="0"/>
              <w:rPr>
                <w:sz w:val="7"/>
                <w:szCs w:val="7"/>
                <w:color w:val="auto"/>
              </w:rPr>
            </w:pPr>
          </w:p>
        </w:tc>
        <w:tc>
          <w:tcPr>
            <w:tcW w:w="200" w:type="dxa"/>
            <w:vAlign w:val="bottom"/>
          </w:tcPr>
          <w:p>
            <w:pPr>
              <w:spacing w:after="0"/>
              <w:rPr>
                <w:sz w:val="7"/>
                <w:szCs w:val="7"/>
                <w:color w:val="auto"/>
              </w:rPr>
            </w:pPr>
          </w:p>
        </w:tc>
        <w:tc>
          <w:tcPr>
            <w:tcW w:w="140" w:type="dxa"/>
            <w:vAlign w:val="bottom"/>
          </w:tcPr>
          <w:p>
            <w:pPr>
              <w:spacing w:after="0"/>
              <w:rPr>
                <w:sz w:val="7"/>
                <w:szCs w:val="7"/>
                <w:color w:val="auto"/>
              </w:rPr>
            </w:pPr>
          </w:p>
        </w:tc>
        <w:tc>
          <w:tcPr>
            <w:tcW w:w="342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88"/>
        </w:trPr>
        <w:tc>
          <w:tcPr>
            <w:tcW w:w="20" w:type="dxa"/>
            <w:vAlign w:val="bottom"/>
          </w:tcPr>
          <w:p>
            <w:pPr>
              <w:spacing w:after="0"/>
              <w:rPr>
                <w:sz w:val="16"/>
                <w:szCs w:val="16"/>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80" w:type="dxa"/>
            <w:vAlign w:val="bottom"/>
            <w:gridSpan w:val="3"/>
          </w:tcPr>
          <w:p>
            <w:pPr>
              <w:ind w:left="8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MENLO PARK CA</w:t>
            </w:r>
          </w:p>
        </w:tc>
        <w:tc>
          <w:tcPr>
            <w:tcW w:w="820" w:type="dxa"/>
            <w:vAlign w:val="bottom"/>
          </w:tcPr>
          <w:p>
            <w:pPr>
              <w:spacing w:after="0"/>
              <w:rPr>
                <w:sz w:val="20"/>
                <w:szCs w:val="20"/>
                <w:color w:val="auto"/>
              </w:rPr>
            </w:pPr>
          </w:p>
        </w:tc>
        <w:tc>
          <w:tcPr>
            <w:tcW w:w="134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94025</w:t>
            </w: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940" w:type="dxa"/>
            <w:vAlign w:val="bottom"/>
            <w:gridSpan w:val="6"/>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240" w:type="dxa"/>
            <w:vAlign w:val="bottom"/>
            <w:tcBorders>
              <w:bottom w:val="single" w:sz="8" w:color="9A9A9A"/>
            </w:tcBorders>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340" w:type="dxa"/>
            <w:vAlign w:val="bottom"/>
            <w:tcBorders>
              <w:bottom w:val="single" w:sz="8" w:color="9A9A9A"/>
            </w:tcBorders>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6"/>
          </w:tcPr>
          <w:p>
            <w:pPr>
              <w:ind w:left="120"/>
              <w:spacing w:after="0" w:line="12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80" w:type="dxa"/>
            <w:vAlign w:val="bottom"/>
            <w:gridSpan w:val="3"/>
            <w:vMerge w:val="restart"/>
          </w:tcPr>
          <w:p>
            <w:pPr>
              <w:ind w:left="60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vMerge w:val="continue"/>
          </w:tcPr>
          <w:p>
            <w:pPr>
              <w:spacing w:after="0"/>
              <w:rPr>
                <w:sz w:val="12"/>
                <w:szCs w:val="12"/>
                <w:color w:val="auto"/>
              </w:rPr>
            </w:pPr>
          </w:p>
        </w:tc>
        <w:tc>
          <w:tcPr>
            <w:tcW w:w="1680" w:type="dxa"/>
            <w:vAlign w:val="bottom"/>
            <w:gridSpan w:val="3"/>
            <w:vMerge w:val="continue"/>
          </w:tcPr>
          <w:p>
            <w:pPr>
              <w:spacing w:after="0"/>
              <w:rPr>
                <w:sz w:val="12"/>
                <w:szCs w:val="12"/>
                <w:color w:val="auto"/>
              </w:rPr>
            </w:pPr>
          </w:p>
        </w:tc>
        <w:tc>
          <w:tcPr>
            <w:tcW w:w="134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3940" w:type="dxa"/>
            <w:vAlign w:val="bottom"/>
            <w:tcBorders>
              <w:bottom w:val="single" w:sz="8" w:color="2C2C2C"/>
            </w:tcBorders>
            <w:gridSpan w:val="9"/>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740" w:type="dxa"/>
            <w:vAlign w:val="bottom"/>
            <w:tcBorders>
              <w:top w:val="single" w:sz="8" w:color="2C2C2C"/>
            </w:tcBorders>
            <w:gridSpan w:val="18"/>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5"/>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5"/>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6"/>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5"/>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32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Pr>
          <w:p>
            <w:pPr>
              <w:spacing w:after="0"/>
              <w:rPr>
                <w:sz w:val="8"/>
                <w:szCs w:val="8"/>
                <w:color w:val="auto"/>
              </w:rPr>
            </w:pPr>
          </w:p>
        </w:tc>
        <w:tc>
          <w:tcPr>
            <w:tcW w:w="32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48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3"/>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1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5"/>
          </w:tcPr>
          <w:p>
            <w:pPr>
              <w:ind w:left="880"/>
              <w:spacing w:after="0"/>
              <w:rPr>
                <w:sz w:val="20"/>
                <w:szCs w:val="20"/>
                <w:color w:val="auto"/>
              </w:rPr>
            </w:pPr>
            <w:r>
              <w:rPr>
                <w:rFonts w:ascii="Times New Roman" w:cs="Times New Roman" w:eastAsia="Times New Roman" w:hAnsi="Times New Roman"/>
                <w:sz w:val="17"/>
                <w:szCs w:val="17"/>
                <w:color w:val="0000FF"/>
              </w:rPr>
              <w:t>06/19/2026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680" w:type="dxa"/>
            <w:vAlign w:val="bottom"/>
            <w:tcBorders>
              <w:bottom w:val="single" w:sz="8" w:color="2C2C2C"/>
            </w:tcBorders>
          </w:tcPr>
          <w:p>
            <w:pPr>
              <w:ind w:left="220"/>
              <w:spacing w:after="0"/>
              <w:rPr>
                <w:sz w:val="20"/>
                <w:szCs w:val="20"/>
                <w:color w:val="auto"/>
              </w:rPr>
            </w:pPr>
            <w:r>
              <w:rPr>
                <w:rFonts w:ascii="Times New Roman" w:cs="Times New Roman" w:eastAsia="Times New Roman" w:hAnsi="Times New Roman"/>
                <w:sz w:val="17"/>
                <w:szCs w:val="17"/>
                <w:color w:val="0000FF"/>
              </w:rPr>
              <w:t>8,961</w:t>
            </w:r>
          </w:p>
        </w:tc>
        <w:tc>
          <w:tcPr>
            <w:tcW w:w="48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20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gridSpan w:val="4"/>
          </w:tcPr>
          <w:p>
            <w:pPr>
              <w:ind w:lef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1.66</w:t>
            </w:r>
            <w:r>
              <w:rPr>
                <w:rFonts w:ascii="Times New Roman" w:cs="Times New Roman" w:eastAsia="Times New Roman" w:hAnsi="Times New Roman"/>
                <w:sz w:val="22"/>
                <w:szCs w:val="22"/>
                <w:color w:val="008000"/>
                <w:vertAlign w:val="superscript"/>
              </w:rPr>
              <w:t>(2)</w:t>
            </w:r>
          </w:p>
        </w:tc>
        <w:tc>
          <w:tcPr>
            <w:tcW w:w="1200" w:type="dxa"/>
            <w:vAlign w:val="bottom"/>
            <w:tcBorders>
              <w:bottom w:val="single" w:sz="8" w:color="2C2C2C"/>
            </w:tcBorders>
            <w:gridSpan w:val="2"/>
          </w:tcPr>
          <w:p>
            <w:pPr>
              <w:jc w:val="right"/>
              <w:ind w:right="300"/>
              <w:spacing w:after="0"/>
              <w:rPr>
                <w:sz w:val="20"/>
                <w:szCs w:val="20"/>
                <w:color w:val="auto"/>
              </w:rPr>
            </w:pPr>
            <w:r>
              <w:rPr>
                <w:rFonts w:ascii="Times New Roman" w:cs="Times New Roman" w:eastAsia="Times New Roman" w:hAnsi="Times New Roman"/>
                <w:sz w:val="17"/>
                <w:szCs w:val="17"/>
                <w:color w:val="0000FF"/>
              </w:rPr>
              <w:t>102,529</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5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4,448,757</w:t>
            </w:r>
          </w:p>
        </w:tc>
        <w:tc>
          <w:tcPr>
            <w:tcW w:w="920" w:type="dxa"/>
            <w:vAlign w:val="bottom"/>
            <w:vMerge w:val="restart"/>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80" w:type="dxa"/>
            <w:vAlign w:val="bottom"/>
            <w:gridSpan w:val="4"/>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gridSpan w:val="2"/>
            <w:vMerge w:val="continue"/>
          </w:tcPr>
          <w:p>
            <w:pPr>
              <w:spacing w:after="0"/>
              <w:rPr>
                <w:sz w:val="10"/>
                <w:szCs w:val="10"/>
                <w:color w:val="auto"/>
              </w:rPr>
            </w:pPr>
          </w:p>
        </w:tc>
        <w:tc>
          <w:tcPr>
            <w:tcW w:w="920" w:type="dxa"/>
            <w:vAlign w:val="bottom"/>
            <w:vMerge w:val="continue"/>
          </w:tcPr>
          <w:p>
            <w:pPr>
              <w:spacing w:after="0"/>
              <w:rPr>
                <w:sz w:val="10"/>
                <w:szCs w:val="10"/>
                <w:color w:val="auto"/>
              </w:rPr>
            </w:pPr>
          </w:p>
        </w:tc>
        <w:tc>
          <w:tcPr>
            <w:tcW w:w="82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Note 3</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24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tcPr>
          <w:p>
            <w:pPr>
              <w:spacing w:after="0"/>
              <w:rPr>
                <w:sz w:val="18"/>
                <w:szCs w:val="18"/>
                <w:color w:val="auto"/>
              </w:rPr>
            </w:pPr>
          </w:p>
        </w:tc>
        <w:tc>
          <w:tcPr>
            <w:tcW w:w="134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6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32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720" w:type="dxa"/>
            <w:vAlign w:val="bottom"/>
            <w:tcBorders>
              <w:bottom w:val="single" w:sz="8" w:color="2C2C2C"/>
            </w:tcBorders>
          </w:tcPr>
          <w:p>
            <w:pPr>
              <w:spacing w:after="0"/>
              <w:rPr>
                <w:sz w:val="18"/>
                <w:szCs w:val="18"/>
                <w:color w:val="auto"/>
              </w:rPr>
            </w:pPr>
          </w:p>
        </w:tc>
        <w:tc>
          <w:tcPr>
            <w:tcW w:w="780" w:type="dxa"/>
            <w:vAlign w:val="bottom"/>
            <w:tcBorders>
              <w:bottom w:val="single" w:sz="8" w:color="2C2C2C"/>
            </w:tcBorders>
          </w:tcPr>
          <w:p>
            <w:pPr>
              <w:spacing w:after="0"/>
              <w:rPr>
                <w:sz w:val="18"/>
                <w:szCs w:val="18"/>
                <w:color w:val="auto"/>
              </w:rPr>
            </w:pPr>
          </w:p>
        </w:tc>
        <w:tc>
          <w:tcPr>
            <w:tcW w:w="680" w:type="dxa"/>
            <w:vAlign w:val="bottom"/>
            <w:tcBorders>
              <w:bottom w:val="single" w:sz="8" w:color="2C2C2C"/>
            </w:tcBorders>
          </w:tcPr>
          <w:p>
            <w:pPr>
              <w:spacing w:after="0"/>
              <w:rPr>
                <w:sz w:val="18"/>
                <w:szCs w:val="18"/>
                <w:color w:val="auto"/>
              </w:rPr>
            </w:pPr>
          </w:p>
        </w:tc>
        <w:tc>
          <w:tcPr>
            <w:tcW w:w="4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14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20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tcPr>
          <w:p>
            <w:pPr>
              <w:spacing w:after="0"/>
              <w:rPr>
                <w:sz w:val="18"/>
                <w:szCs w:val="18"/>
                <w:color w:val="auto"/>
              </w:rPr>
            </w:pPr>
          </w:p>
        </w:tc>
        <w:tc>
          <w:tcPr>
            <w:tcW w:w="820" w:type="dxa"/>
            <w:vAlign w:val="bottom"/>
            <w:tcBorders>
              <w:bottom w:val="single" w:sz="8" w:color="2C2C2C"/>
            </w:tcBorders>
            <w:gridSpan w:val="3"/>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920" w:type="dxa"/>
            <w:vAlign w:val="bottom"/>
            <w:gridSpan w:val="17"/>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4"/>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4"/>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820" w:type="dxa"/>
            <w:vAlign w:val="bottom"/>
            <w:gridSpan w:val="3"/>
          </w:tcPr>
          <w:p>
            <w:pPr>
              <w:ind w:left="100"/>
              <w:spacing w:after="0"/>
              <w:rPr>
                <w:sz w:val="20"/>
                <w:szCs w:val="20"/>
                <w:color w:val="auto"/>
              </w:rPr>
            </w:pPr>
            <w:r>
              <w:rPr>
                <w:rFonts w:ascii="Arial" w:cs="Arial" w:eastAsia="Arial" w:hAnsi="Arial"/>
                <w:sz w:val="12"/>
                <w:szCs w:val="12"/>
                <w:b w:val="1"/>
                <w:bCs w:val="1"/>
                <w:color w:val="auto"/>
              </w:rPr>
              <w:t>7. Title and</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8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Amount of</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7"/>
              </w:rPr>
              <w:t>Securities</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4"/>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20" w:type="dxa"/>
            <w:vAlign w:val="bottom"/>
            <w:gridSpan w:val="3"/>
          </w:tcPr>
          <w:p>
            <w:pPr>
              <w:ind w:left="100"/>
              <w:spacing w:after="0" w:line="133" w:lineRule="exact"/>
              <w:rPr>
                <w:sz w:val="20"/>
                <w:szCs w:val="20"/>
                <w:color w:val="auto"/>
              </w:rPr>
            </w:pPr>
            <w:r>
              <w:rPr>
                <w:rFonts w:ascii="Arial" w:cs="Arial" w:eastAsia="Arial" w:hAnsi="Arial"/>
                <w:sz w:val="12"/>
                <w:szCs w:val="12"/>
                <w:b w:val="1"/>
                <w:bCs w:val="1"/>
                <w:color w:val="auto"/>
              </w:rPr>
              <w:t>Underlying</w:t>
            </w: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7"/>
              </w:rPr>
              <w:t>Derivative</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100" w:type="dxa"/>
            <w:vAlign w:val="bottom"/>
            <w:gridSpan w:val="5"/>
          </w:tcPr>
          <w:p>
            <w:pPr>
              <w:ind w:left="10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3"/>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gridSpan w:val="2"/>
          </w:tcPr>
          <w:p>
            <w:pPr>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10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4"/>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were issued in accordance with the Issuer's Sixth Amended and Restated Non-Employee Director Compensation Policy, pursuant to which the Reporting Person elected to receive shares of the Issuer's common stock in lieu of cash compensation for annual services as a non-employee director of the Issuer.</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based upon the closing market price of the Issuer's common stock on June 18, 2026.</w:t>
      </w:r>
    </w:p>
    <w:p>
      <w:pPr>
        <w:spacing w:after="0" w:line="50" w:lineRule="exact"/>
        <w:rPr>
          <w:rFonts w:ascii="Times New Roman" w:cs="Times New Roman" w:eastAsia="Times New Roman" w:hAnsi="Times New Roman"/>
          <w:sz w:val="13"/>
          <w:szCs w:val="13"/>
          <w:color w:val="008000"/>
        </w:rPr>
      </w:pPr>
    </w:p>
    <w:p>
      <w:pPr>
        <w:ind w:left="40" w:right="22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a manager of NEA 16 GP, LLC, which is the sole general partner of NEA Partners 16, L.P. ("NEA Partners 16"). NEA Partners 16 is the sole general partner of New Enterprise Associates 16, L.P. ("NEA 16"), the direct beneficial owner of the securities. The Reporting Person disclaims beneficial ownership within the meaning of Section 16 of the Securities Exchange Act of 1934, as amended, or otherwise of such portion of the securities held by NEA 16 in which the Reporting Person has no pecuniary interest.</w:t>
      </w:r>
    </w:p>
    <w:p>
      <w:pPr>
        <w:spacing w:after="0" w:line="37"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Zachary Bambach,</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06/22/2026</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13867" TargetMode="External"/><Relationship Id="rId14" Type="http://schemas.openxmlformats.org/officeDocument/2006/relationships/hyperlink" Target="http://www.sec.gov/cgi-bin/browse-edgar?action=getcompany&amp;CIK=000170154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2026-06-22T15:51:01Z</dcterms:created>
  <dcterms:modified xsi:type="dcterms:W3CDTF">2026-06-22T15:51:01Z</dcterms:modified>
</cp:coreProperties>
</file>